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34D6E" w14:textId="3EF574E3" w:rsidR="00971EF1" w:rsidRPr="006309F9" w:rsidRDefault="00971EF1" w:rsidP="006309F9">
      <w:pPr>
        <w:pStyle w:val="Titolo1"/>
        <w:spacing w:before="0" w:after="120" w:line="240" w:lineRule="auto"/>
        <w:rPr>
          <w:szCs w:val="28"/>
        </w:rPr>
      </w:pPr>
      <w:bookmarkStart w:id="0" w:name="_Toc1148494"/>
      <w:r w:rsidRPr="006309F9">
        <w:rPr>
          <w:szCs w:val="28"/>
        </w:rPr>
        <w:t>Il sistema degli accantonamenti e dei fondi nella contabilità finanziaria degli enti territoriali. Ratio normativa e strumenti di intervento.</w:t>
      </w:r>
      <w:bookmarkEnd w:id="0"/>
    </w:p>
    <w:p w14:paraId="6E7E65E0" w14:textId="0F696746" w:rsidR="00971EF1" w:rsidRPr="006309F9" w:rsidRDefault="00971EF1" w:rsidP="006309F9">
      <w:pPr>
        <w:spacing w:after="120" w:line="240" w:lineRule="auto"/>
        <w:jc w:val="both"/>
        <w:rPr>
          <w:rFonts w:ascii="Times New Roman" w:hAnsi="Times New Roman" w:cs="Times New Roman"/>
          <w:sz w:val="28"/>
          <w:szCs w:val="28"/>
        </w:rPr>
      </w:pPr>
      <w:r w:rsidRPr="006309F9">
        <w:rPr>
          <w:rFonts w:ascii="Times New Roman" w:hAnsi="Times New Roman" w:cs="Times New Roman"/>
          <w:sz w:val="28"/>
          <w:szCs w:val="28"/>
        </w:rPr>
        <w:t>(</w:t>
      </w:r>
      <w:r w:rsidR="00F65B2D">
        <w:rPr>
          <w:rFonts w:ascii="Times New Roman" w:hAnsi="Times New Roman" w:cs="Times New Roman"/>
          <w:sz w:val="28"/>
          <w:szCs w:val="28"/>
        </w:rPr>
        <w:t xml:space="preserve">di Donato </w:t>
      </w:r>
      <w:r w:rsidRPr="006309F9">
        <w:rPr>
          <w:rFonts w:ascii="Times New Roman" w:hAnsi="Times New Roman" w:cs="Times New Roman"/>
          <w:sz w:val="28"/>
          <w:szCs w:val="28"/>
        </w:rPr>
        <w:t>Centrone</w:t>
      </w:r>
      <w:r w:rsidR="00F65B2D">
        <w:rPr>
          <w:rFonts w:ascii="Times New Roman" w:hAnsi="Times New Roman" w:cs="Times New Roman"/>
          <w:sz w:val="28"/>
          <w:szCs w:val="28"/>
        </w:rPr>
        <w:t>, magistrato della Corte dei conti</w:t>
      </w:r>
      <w:r w:rsidRPr="006309F9">
        <w:rPr>
          <w:rFonts w:ascii="Times New Roman" w:hAnsi="Times New Roman" w:cs="Times New Roman"/>
          <w:sz w:val="28"/>
          <w:szCs w:val="28"/>
        </w:rPr>
        <w:t>)</w:t>
      </w:r>
    </w:p>
    <w:p w14:paraId="02173851" w14:textId="1B9689F0" w:rsidR="00FF75BC" w:rsidRDefault="00FF75BC" w:rsidP="006309F9">
      <w:pPr>
        <w:spacing w:after="120" w:line="240" w:lineRule="auto"/>
        <w:jc w:val="both"/>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519929964"/>
        <w:docPartObj>
          <w:docPartGallery w:val="Table of Contents"/>
          <w:docPartUnique/>
        </w:docPartObj>
      </w:sdtPr>
      <w:sdtEndPr>
        <w:rPr>
          <w:b/>
          <w:bCs/>
        </w:rPr>
      </w:sdtEndPr>
      <w:sdtContent>
        <w:p w14:paraId="3392FC16" w14:textId="278FCCE3" w:rsidR="00FF4D84" w:rsidRDefault="00FF4D84">
          <w:pPr>
            <w:pStyle w:val="Titolosommario"/>
          </w:pPr>
          <w:r>
            <w:t>Sommario</w:t>
          </w:r>
        </w:p>
        <w:p w14:paraId="058D2733" w14:textId="67E2CDE9" w:rsidR="00FF4D84" w:rsidRDefault="00FF4D84">
          <w:pPr>
            <w:pStyle w:val="Sommario1"/>
            <w:tabs>
              <w:tab w:val="right" w:leader="dot" w:pos="9628"/>
            </w:tabs>
            <w:rPr>
              <w:noProof/>
            </w:rPr>
          </w:pPr>
          <w:r>
            <w:fldChar w:fldCharType="begin"/>
          </w:r>
          <w:r>
            <w:instrText xml:space="preserve"> TOC \o "1-3" \h \z \u </w:instrText>
          </w:r>
          <w:r>
            <w:fldChar w:fldCharType="separate"/>
          </w:r>
          <w:hyperlink w:anchor="_Toc1148494" w:history="1">
            <w:r w:rsidRPr="00443339">
              <w:rPr>
                <w:rStyle w:val="Collegamentoipertestuale"/>
                <w:noProof/>
              </w:rPr>
              <w:t>Il sistema degli accantonamenti e dei fondi nella contabilità finanziaria degli enti territoriali. Ratio normativa e strumenti di intervento.</w:t>
            </w:r>
            <w:r>
              <w:rPr>
                <w:noProof/>
                <w:webHidden/>
              </w:rPr>
              <w:tab/>
            </w:r>
            <w:r>
              <w:rPr>
                <w:noProof/>
                <w:webHidden/>
              </w:rPr>
              <w:fldChar w:fldCharType="begin"/>
            </w:r>
            <w:r>
              <w:rPr>
                <w:noProof/>
                <w:webHidden/>
              </w:rPr>
              <w:instrText xml:space="preserve"> PAGEREF _Toc1148494 \h </w:instrText>
            </w:r>
            <w:r>
              <w:rPr>
                <w:noProof/>
                <w:webHidden/>
              </w:rPr>
            </w:r>
            <w:r>
              <w:rPr>
                <w:noProof/>
                <w:webHidden/>
              </w:rPr>
              <w:fldChar w:fldCharType="separate"/>
            </w:r>
            <w:r w:rsidR="00B4268C">
              <w:rPr>
                <w:noProof/>
                <w:webHidden/>
              </w:rPr>
              <w:t>1</w:t>
            </w:r>
            <w:r>
              <w:rPr>
                <w:noProof/>
                <w:webHidden/>
              </w:rPr>
              <w:fldChar w:fldCharType="end"/>
            </w:r>
          </w:hyperlink>
        </w:p>
        <w:p w14:paraId="13258ACC" w14:textId="1740B6AA" w:rsidR="00FF4D84" w:rsidRDefault="00992AFB">
          <w:pPr>
            <w:pStyle w:val="Sommario2"/>
            <w:tabs>
              <w:tab w:val="right" w:leader="dot" w:pos="9628"/>
            </w:tabs>
            <w:rPr>
              <w:noProof/>
            </w:rPr>
          </w:pPr>
          <w:hyperlink w:anchor="_Toc1148495" w:history="1">
            <w:r w:rsidR="00FF4D84" w:rsidRPr="00443339">
              <w:rPr>
                <w:rStyle w:val="Collegamentoipertestuale"/>
                <w:noProof/>
              </w:rPr>
              <w:t>1.1 Accantonamenti e fondi nel sistema armonizzato di contabilità degli enti territoriali</w:t>
            </w:r>
            <w:r w:rsidR="00FF4D84">
              <w:rPr>
                <w:noProof/>
                <w:webHidden/>
              </w:rPr>
              <w:tab/>
            </w:r>
            <w:r w:rsidR="00FF4D84">
              <w:rPr>
                <w:noProof/>
                <w:webHidden/>
              </w:rPr>
              <w:fldChar w:fldCharType="begin"/>
            </w:r>
            <w:r w:rsidR="00FF4D84">
              <w:rPr>
                <w:noProof/>
                <w:webHidden/>
              </w:rPr>
              <w:instrText xml:space="preserve"> PAGEREF _Toc1148495 \h </w:instrText>
            </w:r>
            <w:r w:rsidR="00FF4D84">
              <w:rPr>
                <w:noProof/>
                <w:webHidden/>
              </w:rPr>
            </w:r>
            <w:r w:rsidR="00FF4D84">
              <w:rPr>
                <w:noProof/>
                <w:webHidden/>
              </w:rPr>
              <w:fldChar w:fldCharType="separate"/>
            </w:r>
            <w:r w:rsidR="00B4268C">
              <w:rPr>
                <w:noProof/>
                <w:webHidden/>
              </w:rPr>
              <w:t>2</w:t>
            </w:r>
            <w:r w:rsidR="00FF4D84">
              <w:rPr>
                <w:noProof/>
                <w:webHidden/>
              </w:rPr>
              <w:fldChar w:fldCharType="end"/>
            </w:r>
          </w:hyperlink>
        </w:p>
        <w:p w14:paraId="224A8196" w14:textId="76787B53" w:rsidR="00FF4D84" w:rsidRDefault="00992AFB">
          <w:pPr>
            <w:pStyle w:val="Sommario3"/>
            <w:tabs>
              <w:tab w:val="right" w:leader="dot" w:pos="9628"/>
            </w:tabs>
            <w:rPr>
              <w:noProof/>
            </w:rPr>
          </w:pPr>
          <w:hyperlink w:anchor="_Toc1148496" w:history="1">
            <w:r w:rsidR="00FF4D84" w:rsidRPr="00443339">
              <w:rPr>
                <w:rStyle w:val="Collegamentoipertestuale"/>
                <w:noProof/>
              </w:rPr>
              <w:t>1.1.1 Il fondo pluriennale vincolato</w:t>
            </w:r>
            <w:r w:rsidR="00FF4D84">
              <w:rPr>
                <w:noProof/>
                <w:webHidden/>
              </w:rPr>
              <w:tab/>
            </w:r>
            <w:r w:rsidR="00FF4D84">
              <w:rPr>
                <w:noProof/>
                <w:webHidden/>
              </w:rPr>
              <w:fldChar w:fldCharType="begin"/>
            </w:r>
            <w:r w:rsidR="00FF4D84">
              <w:rPr>
                <w:noProof/>
                <w:webHidden/>
              </w:rPr>
              <w:instrText xml:space="preserve"> PAGEREF _Toc1148496 \h </w:instrText>
            </w:r>
            <w:r w:rsidR="00FF4D84">
              <w:rPr>
                <w:noProof/>
                <w:webHidden/>
              </w:rPr>
            </w:r>
            <w:r w:rsidR="00FF4D84">
              <w:rPr>
                <w:noProof/>
                <w:webHidden/>
              </w:rPr>
              <w:fldChar w:fldCharType="separate"/>
            </w:r>
            <w:r w:rsidR="00B4268C">
              <w:rPr>
                <w:noProof/>
                <w:webHidden/>
              </w:rPr>
              <w:t>5</w:t>
            </w:r>
            <w:r w:rsidR="00FF4D84">
              <w:rPr>
                <w:noProof/>
                <w:webHidden/>
              </w:rPr>
              <w:fldChar w:fldCharType="end"/>
            </w:r>
          </w:hyperlink>
        </w:p>
        <w:p w14:paraId="1F5A2A4A" w14:textId="76E3F1DA" w:rsidR="00FF4D84" w:rsidRDefault="00992AFB">
          <w:pPr>
            <w:pStyle w:val="Sommario2"/>
            <w:tabs>
              <w:tab w:val="right" w:leader="dot" w:pos="9628"/>
            </w:tabs>
            <w:rPr>
              <w:noProof/>
            </w:rPr>
          </w:pPr>
          <w:hyperlink w:anchor="_Toc1148497" w:history="1">
            <w:r w:rsidR="00FF4D84" w:rsidRPr="00443339">
              <w:rPr>
                <w:rStyle w:val="Collegamentoipertestuale"/>
                <w:noProof/>
              </w:rPr>
              <w:t>1.2 Il fondo crediti di dubbia esigibilità</w:t>
            </w:r>
            <w:r w:rsidR="00FF4D84">
              <w:rPr>
                <w:noProof/>
                <w:webHidden/>
              </w:rPr>
              <w:tab/>
            </w:r>
            <w:r w:rsidR="00FF4D84">
              <w:rPr>
                <w:noProof/>
                <w:webHidden/>
              </w:rPr>
              <w:fldChar w:fldCharType="begin"/>
            </w:r>
            <w:r w:rsidR="00FF4D84">
              <w:rPr>
                <w:noProof/>
                <w:webHidden/>
              </w:rPr>
              <w:instrText xml:space="preserve"> PAGEREF _Toc1148497 \h </w:instrText>
            </w:r>
            <w:r w:rsidR="00FF4D84">
              <w:rPr>
                <w:noProof/>
                <w:webHidden/>
              </w:rPr>
            </w:r>
            <w:r w:rsidR="00FF4D84">
              <w:rPr>
                <w:noProof/>
                <w:webHidden/>
              </w:rPr>
              <w:fldChar w:fldCharType="separate"/>
            </w:r>
            <w:r w:rsidR="00B4268C">
              <w:rPr>
                <w:noProof/>
                <w:webHidden/>
              </w:rPr>
              <w:t>12</w:t>
            </w:r>
            <w:r w:rsidR="00FF4D84">
              <w:rPr>
                <w:noProof/>
                <w:webHidden/>
              </w:rPr>
              <w:fldChar w:fldCharType="end"/>
            </w:r>
          </w:hyperlink>
        </w:p>
        <w:p w14:paraId="611527B5" w14:textId="344AC399" w:rsidR="00FF4D84" w:rsidRDefault="00992AFB">
          <w:pPr>
            <w:pStyle w:val="Sommario3"/>
            <w:tabs>
              <w:tab w:val="right" w:leader="dot" w:pos="9628"/>
            </w:tabs>
            <w:rPr>
              <w:noProof/>
            </w:rPr>
          </w:pPr>
          <w:hyperlink w:anchor="_Toc1148498" w:history="1">
            <w:r w:rsidR="00FF4D84" w:rsidRPr="00443339">
              <w:rPr>
                <w:rStyle w:val="Collegamentoipertestuale"/>
                <w:noProof/>
              </w:rPr>
              <w:t>1.2.1 Le modalità di quantificazione del fondo crediti di dubbia esigibilità</w:t>
            </w:r>
            <w:r w:rsidR="00FF4D84">
              <w:rPr>
                <w:noProof/>
                <w:webHidden/>
              </w:rPr>
              <w:tab/>
            </w:r>
            <w:r w:rsidR="00FF4D84">
              <w:rPr>
                <w:noProof/>
                <w:webHidden/>
              </w:rPr>
              <w:fldChar w:fldCharType="begin"/>
            </w:r>
            <w:r w:rsidR="00FF4D84">
              <w:rPr>
                <w:noProof/>
                <w:webHidden/>
              </w:rPr>
              <w:instrText xml:space="preserve"> PAGEREF _Toc1148498 \h </w:instrText>
            </w:r>
            <w:r w:rsidR="00FF4D84">
              <w:rPr>
                <w:noProof/>
                <w:webHidden/>
              </w:rPr>
            </w:r>
            <w:r w:rsidR="00FF4D84">
              <w:rPr>
                <w:noProof/>
                <w:webHidden/>
              </w:rPr>
              <w:fldChar w:fldCharType="separate"/>
            </w:r>
            <w:r w:rsidR="00B4268C">
              <w:rPr>
                <w:noProof/>
                <w:webHidden/>
              </w:rPr>
              <w:t>16</w:t>
            </w:r>
            <w:r w:rsidR="00FF4D84">
              <w:rPr>
                <w:noProof/>
                <w:webHidden/>
              </w:rPr>
              <w:fldChar w:fldCharType="end"/>
            </w:r>
          </w:hyperlink>
        </w:p>
        <w:p w14:paraId="03A127E5" w14:textId="00FAAD52" w:rsidR="00FF4D84" w:rsidRDefault="00992AFB">
          <w:pPr>
            <w:pStyle w:val="Sommario3"/>
            <w:tabs>
              <w:tab w:val="right" w:leader="dot" w:pos="9628"/>
            </w:tabs>
            <w:rPr>
              <w:noProof/>
            </w:rPr>
          </w:pPr>
          <w:hyperlink w:anchor="_Toc1148499" w:history="1">
            <w:r w:rsidR="00FF4D84" w:rsidRPr="00443339">
              <w:rPr>
                <w:rStyle w:val="Collegamentoipertestuale"/>
                <w:noProof/>
              </w:rPr>
              <w:t>1.2.2. FCDE e controllo interno sugli equilibri finanziari</w:t>
            </w:r>
            <w:r w:rsidR="00FF4D84">
              <w:rPr>
                <w:noProof/>
                <w:webHidden/>
              </w:rPr>
              <w:tab/>
            </w:r>
            <w:r w:rsidR="00FF4D84">
              <w:rPr>
                <w:noProof/>
                <w:webHidden/>
              </w:rPr>
              <w:fldChar w:fldCharType="begin"/>
            </w:r>
            <w:r w:rsidR="00FF4D84">
              <w:rPr>
                <w:noProof/>
                <w:webHidden/>
              </w:rPr>
              <w:instrText xml:space="preserve"> PAGEREF _Toc1148499 \h </w:instrText>
            </w:r>
            <w:r w:rsidR="00FF4D84">
              <w:rPr>
                <w:noProof/>
                <w:webHidden/>
              </w:rPr>
            </w:r>
            <w:r w:rsidR="00FF4D84">
              <w:rPr>
                <w:noProof/>
                <w:webHidden/>
              </w:rPr>
              <w:fldChar w:fldCharType="separate"/>
            </w:r>
            <w:r w:rsidR="00B4268C">
              <w:rPr>
                <w:noProof/>
                <w:webHidden/>
              </w:rPr>
              <w:t>21</w:t>
            </w:r>
            <w:r w:rsidR="00FF4D84">
              <w:rPr>
                <w:noProof/>
                <w:webHidden/>
              </w:rPr>
              <w:fldChar w:fldCharType="end"/>
            </w:r>
          </w:hyperlink>
        </w:p>
        <w:p w14:paraId="58842733" w14:textId="11A5A77E" w:rsidR="00FF4D84" w:rsidRDefault="00992AFB">
          <w:pPr>
            <w:pStyle w:val="Sommario3"/>
            <w:tabs>
              <w:tab w:val="right" w:leader="dot" w:pos="9628"/>
            </w:tabs>
            <w:rPr>
              <w:noProof/>
            </w:rPr>
          </w:pPr>
          <w:hyperlink w:anchor="_Toc1148500" w:history="1">
            <w:r w:rsidR="00FF4D84" w:rsidRPr="00443339">
              <w:rPr>
                <w:rStyle w:val="Collegamentoipertestuale"/>
                <w:noProof/>
              </w:rPr>
              <w:t>1.2.3 Il rapporto fra il fondo da anticipazioni liquidità ed il fondo crediti di dubbia esigibilità</w:t>
            </w:r>
            <w:r w:rsidR="00FF4D84">
              <w:rPr>
                <w:noProof/>
                <w:webHidden/>
              </w:rPr>
              <w:tab/>
            </w:r>
            <w:r w:rsidR="00FF4D84">
              <w:rPr>
                <w:noProof/>
                <w:webHidden/>
              </w:rPr>
              <w:fldChar w:fldCharType="begin"/>
            </w:r>
            <w:r w:rsidR="00FF4D84">
              <w:rPr>
                <w:noProof/>
                <w:webHidden/>
              </w:rPr>
              <w:instrText xml:space="preserve"> PAGEREF _Toc1148500 \h </w:instrText>
            </w:r>
            <w:r w:rsidR="00FF4D84">
              <w:rPr>
                <w:noProof/>
                <w:webHidden/>
              </w:rPr>
            </w:r>
            <w:r w:rsidR="00FF4D84">
              <w:rPr>
                <w:noProof/>
                <w:webHidden/>
              </w:rPr>
              <w:fldChar w:fldCharType="separate"/>
            </w:r>
            <w:r w:rsidR="00B4268C">
              <w:rPr>
                <w:noProof/>
                <w:webHidden/>
              </w:rPr>
              <w:t>22</w:t>
            </w:r>
            <w:r w:rsidR="00FF4D84">
              <w:rPr>
                <w:noProof/>
                <w:webHidden/>
              </w:rPr>
              <w:fldChar w:fldCharType="end"/>
            </w:r>
          </w:hyperlink>
        </w:p>
        <w:p w14:paraId="60E0B368" w14:textId="67298BEC" w:rsidR="00FF4D84" w:rsidRDefault="00992AFB">
          <w:pPr>
            <w:pStyle w:val="Sommario2"/>
            <w:tabs>
              <w:tab w:val="right" w:leader="dot" w:pos="9628"/>
            </w:tabs>
            <w:rPr>
              <w:noProof/>
            </w:rPr>
          </w:pPr>
          <w:hyperlink w:anchor="_Toc1148501" w:history="1">
            <w:r w:rsidR="00FF4D84" w:rsidRPr="00443339">
              <w:rPr>
                <w:rStyle w:val="Collegamentoipertestuale"/>
                <w:noProof/>
              </w:rPr>
              <w:t>1.3 I fondi rischi e oneri</w:t>
            </w:r>
            <w:r w:rsidR="00FF4D84">
              <w:rPr>
                <w:noProof/>
                <w:webHidden/>
              </w:rPr>
              <w:tab/>
            </w:r>
            <w:r w:rsidR="00FF4D84">
              <w:rPr>
                <w:noProof/>
                <w:webHidden/>
              </w:rPr>
              <w:fldChar w:fldCharType="begin"/>
            </w:r>
            <w:r w:rsidR="00FF4D84">
              <w:rPr>
                <w:noProof/>
                <w:webHidden/>
              </w:rPr>
              <w:instrText xml:space="preserve"> PAGEREF _Toc1148501 \h </w:instrText>
            </w:r>
            <w:r w:rsidR="00FF4D84">
              <w:rPr>
                <w:noProof/>
                <w:webHidden/>
              </w:rPr>
            </w:r>
            <w:r w:rsidR="00FF4D84">
              <w:rPr>
                <w:noProof/>
                <w:webHidden/>
              </w:rPr>
              <w:fldChar w:fldCharType="separate"/>
            </w:r>
            <w:r w:rsidR="00B4268C">
              <w:rPr>
                <w:noProof/>
                <w:webHidden/>
              </w:rPr>
              <w:t>28</w:t>
            </w:r>
            <w:r w:rsidR="00FF4D84">
              <w:rPr>
                <w:noProof/>
                <w:webHidden/>
              </w:rPr>
              <w:fldChar w:fldCharType="end"/>
            </w:r>
          </w:hyperlink>
        </w:p>
        <w:p w14:paraId="274F7B7E" w14:textId="0808F932" w:rsidR="00FF4D84" w:rsidRDefault="00992AFB">
          <w:pPr>
            <w:pStyle w:val="Sommario2"/>
            <w:tabs>
              <w:tab w:val="right" w:leader="dot" w:pos="9628"/>
            </w:tabs>
            <w:rPr>
              <w:noProof/>
            </w:rPr>
          </w:pPr>
          <w:hyperlink w:anchor="_Toc1148502" w:history="1">
            <w:r w:rsidR="00FF4D84" w:rsidRPr="00443339">
              <w:rPr>
                <w:rStyle w:val="Collegamentoipertestuale"/>
                <w:noProof/>
              </w:rPr>
              <w:t>1.4 Il fondo perdite società partecipate</w:t>
            </w:r>
            <w:r w:rsidR="00FF4D84">
              <w:rPr>
                <w:noProof/>
                <w:webHidden/>
              </w:rPr>
              <w:tab/>
            </w:r>
            <w:r w:rsidR="00FF4D84">
              <w:rPr>
                <w:noProof/>
                <w:webHidden/>
              </w:rPr>
              <w:fldChar w:fldCharType="begin"/>
            </w:r>
            <w:r w:rsidR="00FF4D84">
              <w:rPr>
                <w:noProof/>
                <w:webHidden/>
              </w:rPr>
              <w:instrText xml:space="preserve"> PAGEREF _Toc1148502 \h </w:instrText>
            </w:r>
            <w:r w:rsidR="00FF4D84">
              <w:rPr>
                <w:noProof/>
                <w:webHidden/>
              </w:rPr>
            </w:r>
            <w:r w:rsidR="00FF4D84">
              <w:rPr>
                <w:noProof/>
                <w:webHidden/>
              </w:rPr>
              <w:fldChar w:fldCharType="separate"/>
            </w:r>
            <w:r w:rsidR="00B4268C">
              <w:rPr>
                <w:noProof/>
                <w:webHidden/>
              </w:rPr>
              <w:t>30</w:t>
            </w:r>
            <w:r w:rsidR="00FF4D84">
              <w:rPr>
                <w:noProof/>
                <w:webHidden/>
              </w:rPr>
              <w:fldChar w:fldCharType="end"/>
            </w:r>
          </w:hyperlink>
        </w:p>
        <w:p w14:paraId="2F415B07" w14:textId="25937F69" w:rsidR="00FF4D84" w:rsidRDefault="00992AFB">
          <w:pPr>
            <w:pStyle w:val="Sommario3"/>
            <w:tabs>
              <w:tab w:val="right" w:leader="dot" w:pos="9628"/>
            </w:tabs>
            <w:rPr>
              <w:noProof/>
            </w:rPr>
          </w:pPr>
          <w:hyperlink w:anchor="_Toc1148503" w:history="1">
            <w:r w:rsidR="00FF4D84" w:rsidRPr="00443339">
              <w:rPr>
                <w:rStyle w:val="Collegamentoipertestuale"/>
                <w:noProof/>
              </w:rPr>
              <w:t>1.4.1 I rapporti con i limiti al soccorso finanziario delle società pubbliche</w:t>
            </w:r>
            <w:r w:rsidR="00FF4D84">
              <w:rPr>
                <w:noProof/>
                <w:webHidden/>
              </w:rPr>
              <w:tab/>
            </w:r>
            <w:r w:rsidR="00FF4D84">
              <w:rPr>
                <w:noProof/>
                <w:webHidden/>
              </w:rPr>
              <w:fldChar w:fldCharType="begin"/>
            </w:r>
            <w:r w:rsidR="00FF4D84">
              <w:rPr>
                <w:noProof/>
                <w:webHidden/>
              </w:rPr>
              <w:instrText xml:space="preserve"> PAGEREF _Toc1148503 \h </w:instrText>
            </w:r>
            <w:r w:rsidR="00FF4D84">
              <w:rPr>
                <w:noProof/>
                <w:webHidden/>
              </w:rPr>
            </w:r>
            <w:r w:rsidR="00FF4D84">
              <w:rPr>
                <w:noProof/>
                <w:webHidden/>
              </w:rPr>
              <w:fldChar w:fldCharType="separate"/>
            </w:r>
            <w:r w:rsidR="00B4268C">
              <w:rPr>
                <w:noProof/>
                <w:webHidden/>
              </w:rPr>
              <w:t>35</w:t>
            </w:r>
            <w:r w:rsidR="00FF4D84">
              <w:rPr>
                <w:noProof/>
                <w:webHidden/>
              </w:rPr>
              <w:fldChar w:fldCharType="end"/>
            </w:r>
          </w:hyperlink>
        </w:p>
        <w:p w14:paraId="28DDA312" w14:textId="4BC033CB" w:rsidR="00FF4D84" w:rsidRDefault="00FF4D84">
          <w:r>
            <w:rPr>
              <w:b/>
              <w:bCs/>
            </w:rPr>
            <w:fldChar w:fldCharType="end"/>
          </w:r>
        </w:p>
      </w:sdtContent>
    </w:sdt>
    <w:p w14:paraId="7936762E" w14:textId="28A4AB58" w:rsidR="00FF4D84" w:rsidRDefault="00FF4D84">
      <w:pPr>
        <w:rPr>
          <w:rFonts w:ascii="Times New Roman" w:hAnsi="Times New Roman" w:cs="Times New Roman"/>
          <w:sz w:val="28"/>
          <w:szCs w:val="28"/>
        </w:rPr>
      </w:pPr>
      <w:r>
        <w:rPr>
          <w:rFonts w:ascii="Times New Roman" w:hAnsi="Times New Roman" w:cs="Times New Roman"/>
          <w:sz w:val="28"/>
          <w:szCs w:val="28"/>
        </w:rPr>
        <w:br w:type="page"/>
      </w:r>
    </w:p>
    <w:p w14:paraId="1C45F9B3" w14:textId="228BCF35" w:rsidR="008F1AB2" w:rsidRPr="006309F9" w:rsidRDefault="00EE42EF" w:rsidP="00970E2C">
      <w:pPr>
        <w:pStyle w:val="Titolo2"/>
      </w:pPr>
      <w:bookmarkStart w:id="1" w:name="_Toc1148495"/>
      <w:r>
        <w:lastRenderedPageBreak/>
        <w:t>1</w:t>
      </w:r>
      <w:r w:rsidR="0028307E" w:rsidRPr="006309F9">
        <w:t xml:space="preserve">.1 </w:t>
      </w:r>
      <w:r w:rsidR="0004231E">
        <w:t>Accantonamenti e fondi nel sistema armonizzato di contabilità degli enti territoriali</w:t>
      </w:r>
      <w:bookmarkEnd w:id="1"/>
    </w:p>
    <w:p w14:paraId="7DBC7781" w14:textId="6942C7D4" w:rsidR="00C251A1" w:rsidRPr="006309F9" w:rsidRDefault="00C251A1" w:rsidP="006309F9">
      <w:pPr>
        <w:spacing w:after="120" w:line="240" w:lineRule="auto"/>
        <w:jc w:val="both"/>
        <w:rPr>
          <w:rFonts w:ascii="Times New Roman" w:hAnsi="Times New Roman" w:cs="Times New Roman"/>
          <w:sz w:val="28"/>
          <w:szCs w:val="28"/>
        </w:rPr>
      </w:pPr>
      <w:r w:rsidRPr="006309F9">
        <w:rPr>
          <w:rFonts w:ascii="Times New Roman" w:hAnsi="Times New Roman" w:cs="Times New Roman"/>
          <w:sz w:val="28"/>
          <w:szCs w:val="28"/>
        </w:rPr>
        <w:t>L’impianto del d.lgs. n. 118/2011 (</w:t>
      </w:r>
      <w:r w:rsidR="003509A8">
        <w:rPr>
          <w:rFonts w:ascii="Times New Roman" w:hAnsi="Times New Roman" w:cs="Times New Roman"/>
          <w:sz w:val="28"/>
          <w:szCs w:val="28"/>
        </w:rPr>
        <w:t xml:space="preserve">in particolare, a seguito della </w:t>
      </w:r>
      <w:r w:rsidRPr="006309F9">
        <w:rPr>
          <w:rFonts w:ascii="Times New Roman" w:hAnsi="Times New Roman" w:cs="Times New Roman"/>
          <w:sz w:val="28"/>
          <w:szCs w:val="28"/>
        </w:rPr>
        <w:t>novella</w:t>
      </w:r>
      <w:r w:rsidR="003509A8">
        <w:rPr>
          <w:rFonts w:ascii="Times New Roman" w:hAnsi="Times New Roman" w:cs="Times New Roman"/>
          <w:sz w:val="28"/>
          <w:szCs w:val="28"/>
        </w:rPr>
        <w:t xml:space="preserve"> operata </w:t>
      </w:r>
      <w:r w:rsidRPr="006309F9">
        <w:rPr>
          <w:rFonts w:ascii="Times New Roman" w:hAnsi="Times New Roman" w:cs="Times New Roman"/>
          <w:sz w:val="28"/>
          <w:szCs w:val="28"/>
        </w:rPr>
        <w:t>dal d.lgs. n.</w:t>
      </w:r>
      <w:r w:rsidR="003509A8">
        <w:rPr>
          <w:rFonts w:ascii="Times New Roman" w:hAnsi="Times New Roman" w:cs="Times New Roman"/>
          <w:sz w:val="28"/>
          <w:szCs w:val="28"/>
        </w:rPr>
        <w:t xml:space="preserve"> 126/2014) si pone sulla scia d</w:t>
      </w:r>
      <w:r w:rsidRPr="006309F9">
        <w:rPr>
          <w:rFonts w:ascii="Times New Roman" w:hAnsi="Times New Roman" w:cs="Times New Roman"/>
          <w:sz w:val="28"/>
          <w:szCs w:val="28"/>
        </w:rPr>
        <w:t xml:space="preserve">i </w:t>
      </w:r>
      <w:r w:rsidR="003509A8">
        <w:rPr>
          <w:rFonts w:ascii="Times New Roman" w:hAnsi="Times New Roman" w:cs="Times New Roman"/>
          <w:sz w:val="28"/>
          <w:szCs w:val="28"/>
        </w:rPr>
        <w:t xml:space="preserve">alcuni </w:t>
      </w:r>
      <w:r w:rsidRPr="006309F9">
        <w:rPr>
          <w:rFonts w:ascii="Times New Roman" w:hAnsi="Times New Roman" w:cs="Times New Roman"/>
          <w:sz w:val="28"/>
          <w:szCs w:val="28"/>
        </w:rPr>
        <w:t>principi affermati dalla giurisprudenza del Giudice delle leggi, che ha “</w:t>
      </w:r>
      <w:r w:rsidRPr="0004231E">
        <w:rPr>
          <w:rFonts w:ascii="Times New Roman" w:hAnsi="Times New Roman" w:cs="Times New Roman"/>
          <w:i/>
          <w:sz w:val="28"/>
          <w:szCs w:val="28"/>
        </w:rPr>
        <w:t>costituzionalizzato</w:t>
      </w:r>
      <w:r w:rsidR="0004231E">
        <w:rPr>
          <w:rFonts w:ascii="Times New Roman" w:hAnsi="Times New Roman" w:cs="Times New Roman"/>
          <w:sz w:val="28"/>
          <w:szCs w:val="28"/>
        </w:rPr>
        <w:t>” alcuni capisaldi</w:t>
      </w:r>
      <w:r w:rsidRPr="006309F9">
        <w:rPr>
          <w:rFonts w:ascii="Times New Roman" w:hAnsi="Times New Roman" w:cs="Times New Roman"/>
          <w:sz w:val="28"/>
          <w:szCs w:val="28"/>
        </w:rPr>
        <w:t xml:space="preserve"> del nuovo ordinamento contabile</w:t>
      </w:r>
      <w:r w:rsidR="0004231E">
        <w:rPr>
          <w:rFonts w:ascii="Times New Roman" w:hAnsi="Times New Roman" w:cs="Times New Roman"/>
          <w:sz w:val="28"/>
          <w:szCs w:val="28"/>
        </w:rPr>
        <w:t>,</w:t>
      </w:r>
      <w:r w:rsidRPr="006309F9">
        <w:rPr>
          <w:rFonts w:ascii="Times New Roman" w:hAnsi="Times New Roman" w:cs="Times New Roman"/>
          <w:sz w:val="28"/>
          <w:szCs w:val="28"/>
        </w:rPr>
        <w:t xml:space="preserve"> </w:t>
      </w:r>
      <w:r w:rsidR="0004231E">
        <w:rPr>
          <w:rFonts w:ascii="Times New Roman" w:hAnsi="Times New Roman" w:cs="Times New Roman"/>
          <w:sz w:val="28"/>
          <w:szCs w:val="28"/>
        </w:rPr>
        <w:t xml:space="preserve">c.d. </w:t>
      </w:r>
      <w:r w:rsidRPr="006309F9">
        <w:rPr>
          <w:rFonts w:ascii="Times New Roman" w:hAnsi="Times New Roman" w:cs="Times New Roman"/>
          <w:sz w:val="28"/>
          <w:szCs w:val="28"/>
        </w:rPr>
        <w:t>armonizzato</w:t>
      </w:r>
      <w:r w:rsidR="0004231E">
        <w:rPr>
          <w:rFonts w:ascii="Times New Roman" w:hAnsi="Times New Roman" w:cs="Times New Roman"/>
          <w:sz w:val="28"/>
          <w:szCs w:val="28"/>
        </w:rPr>
        <w:t>,</w:t>
      </w:r>
      <w:r w:rsidRPr="006309F9">
        <w:rPr>
          <w:rFonts w:ascii="Times New Roman" w:hAnsi="Times New Roman" w:cs="Times New Roman"/>
          <w:sz w:val="28"/>
          <w:szCs w:val="28"/>
        </w:rPr>
        <w:t xml:space="preserve"> degli enti territoriali</w:t>
      </w:r>
      <w:r w:rsidR="003509A8">
        <w:rPr>
          <w:rStyle w:val="Rimandonotaapidipagina"/>
          <w:rFonts w:ascii="Times New Roman" w:hAnsi="Times New Roman" w:cs="Times New Roman"/>
          <w:sz w:val="28"/>
          <w:szCs w:val="28"/>
        </w:rPr>
        <w:footnoteReference w:id="2"/>
      </w:r>
      <w:r w:rsidRPr="006309F9">
        <w:rPr>
          <w:rFonts w:ascii="Times New Roman" w:hAnsi="Times New Roman" w:cs="Times New Roman"/>
          <w:sz w:val="28"/>
          <w:szCs w:val="28"/>
        </w:rPr>
        <w:t>.</w:t>
      </w:r>
      <w:r w:rsidR="003509A8">
        <w:rPr>
          <w:rFonts w:ascii="Times New Roman" w:hAnsi="Times New Roman" w:cs="Times New Roman"/>
          <w:sz w:val="28"/>
          <w:szCs w:val="28"/>
        </w:rPr>
        <w:t xml:space="preserve"> Dalla ricostruzione delle pronunce della </w:t>
      </w:r>
      <w:r w:rsidRPr="006309F9">
        <w:rPr>
          <w:rFonts w:ascii="Times New Roman" w:hAnsi="Times New Roman" w:cs="Times New Roman"/>
          <w:sz w:val="28"/>
          <w:szCs w:val="28"/>
        </w:rPr>
        <w:t xml:space="preserve">giurisprudenza costituzionale in tema di tutela degli equilibri di bilancio </w:t>
      </w:r>
      <w:r w:rsidR="00E011B3">
        <w:rPr>
          <w:rFonts w:ascii="Times New Roman" w:hAnsi="Times New Roman" w:cs="Times New Roman"/>
          <w:sz w:val="28"/>
          <w:szCs w:val="28"/>
        </w:rPr>
        <w:t>e</w:t>
      </w:r>
      <w:r w:rsidRPr="006309F9">
        <w:rPr>
          <w:rFonts w:ascii="Times New Roman" w:hAnsi="Times New Roman" w:cs="Times New Roman"/>
          <w:sz w:val="28"/>
          <w:szCs w:val="28"/>
        </w:rPr>
        <w:t xml:space="preserve">merge la necessità che </w:t>
      </w:r>
      <w:r w:rsidR="003509A8">
        <w:rPr>
          <w:rFonts w:ascii="Times New Roman" w:hAnsi="Times New Roman" w:cs="Times New Roman"/>
          <w:sz w:val="28"/>
          <w:szCs w:val="28"/>
        </w:rPr>
        <w:t>l</w:t>
      </w:r>
      <w:r w:rsidR="0004231E">
        <w:rPr>
          <w:rFonts w:ascii="Times New Roman" w:hAnsi="Times New Roman" w:cs="Times New Roman"/>
          <w:sz w:val="28"/>
          <w:szCs w:val="28"/>
        </w:rPr>
        <w:t>’</w:t>
      </w:r>
      <w:r w:rsidR="003509A8">
        <w:rPr>
          <w:rFonts w:ascii="Times New Roman" w:hAnsi="Times New Roman" w:cs="Times New Roman"/>
          <w:sz w:val="28"/>
          <w:szCs w:val="28"/>
        </w:rPr>
        <w:t xml:space="preserve">ordinamento contabile </w:t>
      </w:r>
      <w:r w:rsidR="0004231E">
        <w:rPr>
          <w:rFonts w:ascii="Times New Roman" w:hAnsi="Times New Roman" w:cs="Times New Roman"/>
          <w:sz w:val="28"/>
          <w:szCs w:val="28"/>
        </w:rPr>
        <w:t>armonizzato conduca, sia in fase di programmazione che</w:t>
      </w:r>
      <w:r w:rsidR="0004231E" w:rsidRPr="006309F9">
        <w:rPr>
          <w:rFonts w:ascii="Times New Roman" w:hAnsi="Times New Roman" w:cs="Times New Roman"/>
          <w:sz w:val="28"/>
          <w:szCs w:val="28"/>
        </w:rPr>
        <w:t xml:space="preserve"> di rendicontazione</w:t>
      </w:r>
      <w:r w:rsidR="0004231E">
        <w:rPr>
          <w:rFonts w:ascii="Times New Roman" w:hAnsi="Times New Roman" w:cs="Times New Roman"/>
          <w:sz w:val="28"/>
          <w:szCs w:val="28"/>
        </w:rPr>
        <w:t>, ad una fedel</w:t>
      </w:r>
      <w:r w:rsidR="003509A8">
        <w:rPr>
          <w:rFonts w:ascii="Times New Roman" w:hAnsi="Times New Roman" w:cs="Times New Roman"/>
          <w:sz w:val="28"/>
          <w:szCs w:val="28"/>
        </w:rPr>
        <w:t>e rappresenta</w:t>
      </w:r>
      <w:r w:rsidR="0004231E">
        <w:rPr>
          <w:rFonts w:ascii="Times New Roman" w:hAnsi="Times New Roman" w:cs="Times New Roman"/>
          <w:sz w:val="28"/>
          <w:szCs w:val="28"/>
        </w:rPr>
        <w:t>zione</w:t>
      </w:r>
      <w:r w:rsidR="003509A8">
        <w:rPr>
          <w:rFonts w:ascii="Times New Roman" w:hAnsi="Times New Roman" w:cs="Times New Roman"/>
          <w:sz w:val="28"/>
          <w:szCs w:val="28"/>
        </w:rPr>
        <w:t xml:space="preserve"> della</w:t>
      </w:r>
      <w:r w:rsidRPr="006309F9">
        <w:rPr>
          <w:rFonts w:ascii="Times New Roman" w:hAnsi="Times New Roman" w:cs="Times New Roman"/>
          <w:sz w:val="28"/>
          <w:szCs w:val="28"/>
        </w:rPr>
        <w:t xml:space="preserve"> situazione economico-finanziaria </w:t>
      </w:r>
      <w:r w:rsidR="003509A8">
        <w:rPr>
          <w:rFonts w:ascii="Times New Roman" w:hAnsi="Times New Roman" w:cs="Times New Roman"/>
          <w:sz w:val="28"/>
          <w:szCs w:val="28"/>
        </w:rPr>
        <w:t xml:space="preserve">degli enti territoriali, nonché </w:t>
      </w:r>
      <w:r w:rsidR="0004231E">
        <w:rPr>
          <w:rFonts w:ascii="Times New Roman" w:hAnsi="Times New Roman" w:cs="Times New Roman"/>
          <w:sz w:val="28"/>
          <w:szCs w:val="28"/>
        </w:rPr>
        <w:t>al rispetto</w:t>
      </w:r>
      <w:r w:rsidR="003509A8">
        <w:rPr>
          <w:rFonts w:ascii="Times New Roman" w:hAnsi="Times New Roman" w:cs="Times New Roman"/>
          <w:sz w:val="28"/>
          <w:szCs w:val="28"/>
        </w:rPr>
        <w:t xml:space="preserve"> dei </w:t>
      </w:r>
      <w:r w:rsidRPr="006309F9">
        <w:rPr>
          <w:rFonts w:ascii="Times New Roman" w:hAnsi="Times New Roman" w:cs="Times New Roman"/>
          <w:sz w:val="28"/>
          <w:szCs w:val="28"/>
        </w:rPr>
        <w:t xml:space="preserve">canoni della sana gestione </w:t>
      </w:r>
      <w:r w:rsidR="003509A8">
        <w:rPr>
          <w:rFonts w:ascii="Times New Roman" w:hAnsi="Times New Roman" w:cs="Times New Roman"/>
          <w:sz w:val="28"/>
          <w:szCs w:val="28"/>
        </w:rPr>
        <w:t xml:space="preserve">di bilancio </w:t>
      </w:r>
      <w:r w:rsidRPr="006309F9">
        <w:rPr>
          <w:rFonts w:ascii="Times New Roman" w:hAnsi="Times New Roman" w:cs="Times New Roman"/>
          <w:sz w:val="28"/>
          <w:szCs w:val="28"/>
        </w:rPr>
        <w:t>tutelati dal novellato art. 97 della Costituzione</w:t>
      </w:r>
      <w:r w:rsidR="003509A8">
        <w:rPr>
          <w:rStyle w:val="Rimandonotaapidipagina"/>
          <w:rFonts w:ascii="Times New Roman" w:hAnsi="Times New Roman" w:cs="Times New Roman"/>
          <w:sz w:val="28"/>
          <w:szCs w:val="28"/>
        </w:rPr>
        <w:footnoteReference w:id="3"/>
      </w:r>
      <w:r w:rsidRPr="006309F9">
        <w:rPr>
          <w:rFonts w:ascii="Times New Roman" w:hAnsi="Times New Roman" w:cs="Times New Roman"/>
          <w:sz w:val="28"/>
          <w:szCs w:val="28"/>
        </w:rPr>
        <w:t>.</w:t>
      </w:r>
    </w:p>
    <w:p w14:paraId="519EFE3B" w14:textId="37F19C08" w:rsidR="00C251A1" w:rsidRPr="006309F9" w:rsidRDefault="00C251A1" w:rsidP="006309F9">
      <w:pPr>
        <w:spacing w:after="120" w:line="240" w:lineRule="auto"/>
        <w:jc w:val="both"/>
        <w:rPr>
          <w:rFonts w:ascii="Times New Roman" w:hAnsi="Times New Roman" w:cs="Times New Roman"/>
          <w:sz w:val="28"/>
          <w:szCs w:val="28"/>
        </w:rPr>
      </w:pPr>
      <w:r w:rsidRPr="00EE42EF">
        <w:rPr>
          <w:rFonts w:ascii="Times New Roman" w:hAnsi="Times New Roman" w:cs="Times New Roman"/>
          <w:sz w:val="28"/>
          <w:szCs w:val="28"/>
          <w:u w:val="single"/>
        </w:rPr>
        <w:t xml:space="preserve">Per assicurare l’equilibrio </w:t>
      </w:r>
      <w:r w:rsidR="003509A8" w:rsidRPr="00EE42EF">
        <w:rPr>
          <w:rFonts w:ascii="Times New Roman" w:hAnsi="Times New Roman" w:cs="Times New Roman"/>
          <w:sz w:val="28"/>
          <w:szCs w:val="28"/>
          <w:u w:val="single"/>
        </w:rPr>
        <w:t xml:space="preserve">duraturo </w:t>
      </w:r>
      <w:r w:rsidRPr="00EE42EF">
        <w:rPr>
          <w:rFonts w:ascii="Times New Roman" w:hAnsi="Times New Roman" w:cs="Times New Roman"/>
          <w:sz w:val="28"/>
          <w:szCs w:val="28"/>
          <w:u w:val="single"/>
        </w:rPr>
        <w:t>dei bilanci e la sostenibilità del debito</w:t>
      </w:r>
      <w:r w:rsidR="003509A8" w:rsidRPr="00EE42EF">
        <w:rPr>
          <w:rFonts w:ascii="Times New Roman" w:hAnsi="Times New Roman" w:cs="Times New Roman"/>
          <w:sz w:val="28"/>
          <w:szCs w:val="28"/>
          <w:u w:val="single"/>
        </w:rPr>
        <w:t xml:space="preserve"> </w:t>
      </w:r>
      <w:r w:rsidR="0004231E" w:rsidRPr="00EE42EF">
        <w:rPr>
          <w:rFonts w:ascii="Times New Roman" w:hAnsi="Times New Roman" w:cs="Times New Roman"/>
          <w:sz w:val="28"/>
          <w:szCs w:val="28"/>
          <w:u w:val="single"/>
        </w:rPr>
        <w:t>de</w:t>
      </w:r>
      <w:r w:rsidRPr="00EE42EF">
        <w:rPr>
          <w:rFonts w:ascii="Times New Roman" w:hAnsi="Times New Roman" w:cs="Times New Roman"/>
          <w:sz w:val="28"/>
          <w:szCs w:val="28"/>
          <w:u w:val="single"/>
        </w:rPr>
        <w:t>gli enti territoriali</w:t>
      </w:r>
      <w:r w:rsidRPr="006309F9">
        <w:rPr>
          <w:rFonts w:ascii="Times New Roman" w:hAnsi="Times New Roman" w:cs="Times New Roman"/>
          <w:sz w:val="28"/>
          <w:szCs w:val="28"/>
        </w:rPr>
        <w:t xml:space="preserve"> </w:t>
      </w:r>
      <w:r w:rsidR="0004231E">
        <w:rPr>
          <w:rFonts w:ascii="Times New Roman" w:hAnsi="Times New Roman" w:cs="Times New Roman"/>
          <w:sz w:val="28"/>
          <w:szCs w:val="28"/>
        </w:rPr>
        <w:t xml:space="preserve">è stato </w:t>
      </w:r>
      <w:r w:rsidRPr="006309F9">
        <w:rPr>
          <w:rFonts w:ascii="Times New Roman" w:hAnsi="Times New Roman" w:cs="Times New Roman"/>
          <w:sz w:val="28"/>
          <w:szCs w:val="28"/>
        </w:rPr>
        <w:t>costru</w:t>
      </w:r>
      <w:r w:rsidR="0004231E">
        <w:rPr>
          <w:rFonts w:ascii="Times New Roman" w:hAnsi="Times New Roman" w:cs="Times New Roman"/>
          <w:sz w:val="28"/>
          <w:szCs w:val="28"/>
        </w:rPr>
        <w:t xml:space="preserve">ito </w:t>
      </w:r>
      <w:r w:rsidRPr="006309F9">
        <w:rPr>
          <w:rFonts w:ascii="Times New Roman" w:hAnsi="Times New Roman" w:cs="Times New Roman"/>
          <w:sz w:val="28"/>
          <w:szCs w:val="28"/>
        </w:rPr>
        <w:t xml:space="preserve">un </w:t>
      </w:r>
      <w:r w:rsidR="003509A8">
        <w:rPr>
          <w:rFonts w:ascii="Times New Roman" w:hAnsi="Times New Roman" w:cs="Times New Roman"/>
          <w:sz w:val="28"/>
          <w:szCs w:val="28"/>
        </w:rPr>
        <w:t>sistema contabile che, mutuando istituti propri della contabi</w:t>
      </w:r>
      <w:r w:rsidR="0066113B">
        <w:rPr>
          <w:rFonts w:ascii="Times New Roman" w:hAnsi="Times New Roman" w:cs="Times New Roman"/>
          <w:sz w:val="28"/>
          <w:szCs w:val="28"/>
        </w:rPr>
        <w:t xml:space="preserve">lità economico-patrimoniale, prevede la </w:t>
      </w:r>
      <w:r w:rsidR="0066113B" w:rsidRPr="00EE42EF">
        <w:rPr>
          <w:rFonts w:ascii="Times New Roman" w:hAnsi="Times New Roman" w:cs="Times New Roman"/>
          <w:sz w:val="28"/>
          <w:szCs w:val="28"/>
          <w:u w:val="single"/>
        </w:rPr>
        <w:t>necessaria imputazione e valorizzazione, secondo regole predeterminate, di “accantonamenti” e di “fondi”</w:t>
      </w:r>
      <w:r w:rsidR="0066113B">
        <w:rPr>
          <w:rFonts w:ascii="Times New Roman" w:hAnsi="Times New Roman" w:cs="Times New Roman"/>
          <w:sz w:val="28"/>
          <w:szCs w:val="28"/>
        </w:rPr>
        <w:t xml:space="preserve"> (il fondo crediti di dubbia esigibilità</w:t>
      </w:r>
      <w:r w:rsidR="0066113B">
        <w:rPr>
          <w:rStyle w:val="Rimandonotaapidipagina"/>
          <w:rFonts w:ascii="Times New Roman" w:hAnsi="Times New Roman" w:cs="Times New Roman"/>
          <w:sz w:val="28"/>
          <w:szCs w:val="28"/>
        </w:rPr>
        <w:footnoteReference w:id="4"/>
      </w:r>
      <w:r w:rsidR="0066113B">
        <w:rPr>
          <w:rFonts w:ascii="Times New Roman" w:hAnsi="Times New Roman" w:cs="Times New Roman"/>
          <w:sz w:val="28"/>
          <w:szCs w:val="28"/>
        </w:rPr>
        <w:t>, il fondo rischi</w:t>
      </w:r>
      <w:r w:rsidR="0066113B">
        <w:rPr>
          <w:rStyle w:val="Rimandonotaapidipagina"/>
          <w:rFonts w:ascii="Times New Roman" w:hAnsi="Times New Roman" w:cs="Times New Roman"/>
          <w:sz w:val="28"/>
          <w:szCs w:val="28"/>
        </w:rPr>
        <w:footnoteReference w:id="5"/>
      </w:r>
      <w:r w:rsidR="0066113B">
        <w:rPr>
          <w:rFonts w:ascii="Times New Roman" w:hAnsi="Times New Roman" w:cs="Times New Roman"/>
          <w:sz w:val="28"/>
          <w:szCs w:val="28"/>
        </w:rPr>
        <w:t>; il fondo anticipazioni liquidità</w:t>
      </w:r>
      <w:r w:rsidR="0066113B">
        <w:rPr>
          <w:rStyle w:val="Rimandonotaapidipagina"/>
          <w:rFonts w:ascii="Times New Roman" w:hAnsi="Times New Roman" w:cs="Times New Roman"/>
          <w:sz w:val="28"/>
          <w:szCs w:val="28"/>
        </w:rPr>
        <w:footnoteReference w:id="6"/>
      </w:r>
      <w:r w:rsidR="0066113B">
        <w:rPr>
          <w:rFonts w:ascii="Times New Roman" w:hAnsi="Times New Roman" w:cs="Times New Roman"/>
          <w:sz w:val="28"/>
          <w:szCs w:val="28"/>
        </w:rPr>
        <w:t>; il fondo perdite società partecipate e organismi strumentali</w:t>
      </w:r>
      <w:r w:rsidR="0066113B">
        <w:rPr>
          <w:rStyle w:val="Rimandonotaapidipagina"/>
          <w:rFonts w:ascii="Times New Roman" w:hAnsi="Times New Roman" w:cs="Times New Roman"/>
          <w:sz w:val="28"/>
          <w:szCs w:val="28"/>
        </w:rPr>
        <w:footnoteReference w:id="7"/>
      </w:r>
      <w:r w:rsidR="0066113B">
        <w:rPr>
          <w:rFonts w:ascii="Times New Roman" w:hAnsi="Times New Roman" w:cs="Times New Roman"/>
          <w:sz w:val="28"/>
          <w:szCs w:val="28"/>
        </w:rPr>
        <w:t>).</w:t>
      </w:r>
    </w:p>
    <w:p w14:paraId="6FB2AD3D" w14:textId="4EA4FDFA" w:rsidR="00593944" w:rsidRDefault="00C251A1" w:rsidP="006309F9">
      <w:pPr>
        <w:spacing w:after="120" w:line="240" w:lineRule="auto"/>
        <w:jc w:val="both"/>
        <w:rPr>
          <w:rFonts w:ascii="Times New Roman" w:hAnsi="Times New Roman" w:cs="Times New Roman"/>
          <w:sz w:val="28"/>
          <w:szCs w:val="28"/>
        </w:rPr>
      </w:pPr>
      <w:r w:rsidRPr="006309F9">
        <w:rPr>
          <w:rFonts w:ascii="Times New Roman" w:hAnsi="Times New Roman" w:cs="Times New Roman"/>
          <w:sz w:val="28"/>
          <w:szCs w:val="28"/>
        </w:rPr>
        <w:t>I</w:t>
      </w:r>
      <w:r w:rsidR="0066113B">
        <w:rPr>
          <w:rFonts w:ascii="Times New Roman" w:hAnsi="Times New Roman" w:cs="Times New Roman"/>
          <w:sz w:val="28"/>
          <w:szCs w:val="28"/>
        </w:rPr>
        <w:t>noltre, i</w:t>
      </w:r>
      <w:r w:rsidRPr="006309F9">
        <w:rPr>
          <w:rFonts w:ascii="Times New Roman" w:hAnsi="Times New Roman" w:cs="Times New Roman"/>
          <w:sz w:val="28"/>
          <w:szCs w:val="28"/>
        </w:rPr>
        <w:t>l rispetto delle regole di convergenza e di stabilità dei conti pubblici</w:t>
      </w:r>
      <w:r w:rsidR="0004231E">
        <w:rPr>
          <w:rFonts w:ascii="Times New Roman" w:hAnsi="Times New Roman" w:cs="Times New Roman"/>
          <w:sz w:val="28"/>
          <w:szCs w:val="28"/>
        </w:rPr>
        <w:t xml:space="preserve"> nazionali, concordate</w:t>
      </w:r>
      <w:r w:rsidR="0066113B">
        <w:rPr>
          <w:rFonts w:ascii="Times New Roman" w:hAnsi="Times New Roman" w:cs="Times New Roman"/>
          <w:sz w:val="28"/>
          <w:szCs w:val="28"/>
        </w:rPr>
        <w:t xml:space="preserve"> in sede europea</w:t>
      </w:r>
      <w:r w:rsidR="0004231E">
        <w:rPr>
          <w:rFonts w:ascii="Times New Roman" w:hAnsi="Times New Roman" w:cs="Times New Roman"/>
          <w:sz w:val="28"/>
          <w:szCs w:val="28"/>
        </w:rPr>
        <w:t>,</w:t>
      </w:r>
      <w:r w:rsidRPr="006309F9">
        <w:rPr>
          <w:rFonts w:ascii="Times New Roman" w:hAnsi="Times New Roman" w:cs="Times New Roman"/>
          <w:sz w:val="28"/>
          <w:szCs w:val="28"/>
        </w:rPr>
        <w:t xml:space="preserve"> </w:t>
      </w:r>
      <w:r w:rsidR="0066113B">
        <w:rPr>
          <w:rFonts w:ascii="Times New Roman" w:hAnsi="Times New Roman" w:cs="Times New Roman"/>
          <w:sz w:val="28"/>
          <w:szCs w:val="28"/>
        </w:rPr>
        <w:t>ha comportato</w:t>
      </w:r>
      <w:r w:rsidRPr="006309F9">
        <w:rPr>
          <w:rFonts w:ascii="Times New Roman" w:hAnsi="Times New Roman" w:cs="Times New Roman"/>
          <w:sz w:val="28"/>
          <w:szCs w:val="28"/>
        </w:rPr>
        <w:t xml:space="preserve"> che i bilanci</w:t>
      </w:r>
      <w:r w:rsidR="0066113B">
        <w:rPr>
          <w:rFonts w:ascii="Times New Roman" w:hAnsi="Times New Roman" w:cs="Times New Roman"/>
          <w:sz w:val="28"/>
          <w:szCs w:val="28"/>
        </w:rPr>
        <w:t>,</w:t>
      </w:r>
      <w:r w:rsidRPr="006309F9">
        <w:rPr>
          <w:rFonts w:ascii="Times New Roman" w:hAnsi="Times New Roman" w:cs="Times New Roman"/>
          <w:sz w:val="28"/>
          <w:szCs w:val="28"/>
        </w:rPr>
        <w:t xml:space="preserve"> preventivi e </w:t>
      </w:r>
      <w:r w:rsidR="0066113B">
        <w:rPr>
          <w:rFonts w:ascii="Times New Roman" w:hAnsi="Times New Roman" w:cs="Times New Roman"/>
          <w:sz w:val="28"/>
          <w:szCs w:val="28"/>
        </w:rPr>
        <w:t xml:space="preserve">consuntivi, </w:t>
      </w:r>
      <w:r w:rsidRPr="006309F9">
        <w:rPr>
          <w:rFonts w:ascii="Times New Roman" w:hAnsi="Times New Roman" w:cs="Times New Roman"/>
          <w:sz w:val="28"/>
          <w:szCs w:val="28"/>
        </w:rPr>
        <w:t xml:space="preserve">delle </w:t>
      </w:r>
      <w:r w:rsidR="0066113B">
        <w:rPr>
          <w:rFonts w:ascii="Times New Roman" w:hAnsi="Times New Roman" w:cs="Times New Roman"/>
          <w:sz w:val="28"/>
          <w:szCs w:val="28"/>
        </w:rPr>
        <w:t>a</w:t>
      </w:r>
      <w:r w:rsidRPr="006309F9">
        <w:rPr>
          <w:rFonts w:ascii="Times New Roman" w:hAnsi="Times New Roman" w:cs="Times New Roman"/>
          <w:sz w:val="28"/>
          <w:szCs w:val="28"/>
        </w:rPr>
        <w:t>mministrazioni interessate al consolidamento</w:t>
      </w:r>
      <w:r w:rsidR="0004231E">
        <w:rPr>
          <w:rFonts w:ascii="Times New Roman" w:hAnsi="Times New Roman" w:cs="Times New Roman"/>
          <w:sz w:val="28"/>
          <w:szCs w:val="28"/>
        </w:rPr>
        <w:t>,</w:t>
      </w:r>
      <w:r w:rsidRPr="006309F9">
        <w:rPr>
          <w:rFonts w:ascii="Times New Roman" w:hAnsi="Times New Roman" w:cs="Times New Roman"/>
          <w:sz w:val="28"/>
          <w:szCs w:val="28"/>
        </w:rPr>
        <w:t xml:space="preserve"> </w:t>
      </w:r>
      <w:r w:rsidR="0066113B">
        <w:rPr>
          <w:rFonts w:ascii="Times New Roman" w:hAnsi="Times New Roman" w:cs="Times New Roman"/>
          <w:sz w:val="28"/>
          <w:szCs w:val="28"/>
        </w:rPr>
        <w:t>ai fini dell’annuale dimostrazione del congruo rapporto fra “</w:t>
      </w:r>
      <w:r w:rsidR="0066113B" w:rsidRPr="003D47E7">
        <w:rPr>
          <w:rFonts w:ascii="Times New Roman" w:hAnsi="Times New Roman" w:cs="Times New Roman"/>
          <w:i/>
          <w:iCs/>
          <w:sz w:val="28"/>
          <w:szCs w:val="28"/>
        </w:rPr>
        <w:t>indebitamento netto</w:t>
      </w:r>
      <w:r w:rsidR="0066113B">
        <w:rPr>
          <w:rFonts w:ascii="Times New Roman" w:hAnsi="Times New Roman" w:cs="Times New Roman"/>
          <w:sz w:val="28"/>
          <w:szCs w:val="28"/>
        </w:rPr>
        <w:t>” (o “</w:t>
      </w:r>
      <w:r w:rsidR="0066113B" w:rsidRPr="003D47E7">
        <w:rPr>
          <w:rFonts w:ascii="Times New Roman" w:hAnsi="Times New Roman" w:cs="Times New Roman"/>
          <w:i/>
          <w:iCs/>
          <w:sz w:val="28"/>
          <w:szCs w:val="28"/>
        </w:rPr>
        <w:t>disavanzo pubblico</w:t>
      </w:r>
      <w:r w:rsidR="0066113B">
        <w:rPr>
          <w:rFonts w:ascii="Times New Roman" w:hAnsi="Times New Roman" w:cs="Times New Roman"/>
          <w:sz w:val="28"/>
          <w:szCs w:val="28"/>
        </w:rPr>
        <w:t>”) e “</w:t>
      </w:r>
      <w:r w:rsidR="0066113B" w:rsidRPr="003D47E7">
        <w:rPr>
          <w:rFonts w:ascii="Times New Roman" w:hAnsi="Times New Roman" w:cs="Times New Roman"/>
          <w:i/>
          <w:iCs/>
          <w:sz w:val="28"/>
          <w:szCs w:val="28"/>
        </w:rPr>
        <w:t xml:space="preserve">debito </w:t>
      </w:r>
      <w:r w:rsidR="0066113B" w:rsidRPr="003D47E7">
        <w:rPr>
          <w:rFonts w:ascii="Times New Roman" w:hAnsi="Times New Roman" w:cs="Times New Roman"/>
          <w:i/>
          <w:iCs/>
          <w:sz w:val="28"/>
          <w:szCs w:val="28"/>
        </w:rPr>
        <w:lastRenderedPageBreak/>
        <w:t>pubblico</w:t>
      </w:r>
      <w:r w:rsidR="0066113B">
        <w:rPr>
          <w:rFonts w:ascii="Times New Roman" w:hAnsi="Times New Roman" w:cs="Times New Roman"/>
          <w:sz w:val="28"/>
          <w:szCs w:val="28"/>
        </w:rPr>
        <w:t>” rispetto al prodotto interno lordo</w:t>
      </w:r>
      <w:r w:rsidR="0066113B">
        <w:rPr>
          <w:rStyle w:val="Rimandonotaapidipagina"/>
          <w:rFonts w:ascii="Times New Roman" w:hAnsi="Times New Roman" w:cs="Times New Roman"/>
          <w:sz w:val="28"/>
          <w:szCs w:val="28"/>
        </w:rPr>
        <w:footnoteReference w:id="8"/>
      </w:r>
      <w:r w:rsidR="00593E14">
        <w:rPr>
          <w:rFonts w:ascii="Times New Roman" w:hAnsi="Times New Roman" w:cs="Times New Roman"/>
          <w:sz w:val="28"/>
          <w:szCs w:val="28"/>
        </w:rPr>
        <w:t>, fra le quali gli enti territoriali</w:t>
      </w:r>
      <w:r w:rsidR="00593E14">
        <w:rPr>
          <w:rStyle w:val="Rimandonotaapidipagina"/>
          <w:rFonts w:ascii="Times New Roman" w:hAnsi="Times New Roman" w:cs="Times New Roman"/>
          <w:sz w:val="28"/>
          <w:szCs w:val="28"/>
        </w:rPr>
        <w:footnoteReference w:id="9"/>
      </w:r>
      <w:r w:rsidR="00593E14">
        <w:rPr>
          <w:rFonts w:ascii="Times New Roman" w:hAnsi="Times New Roman" w:cs="Times New Roman"/>
          <w:sz w:val="28"/>
          <w:szCs w:val="28"/>
        </w:rPr>
        <w:t>,</w:t>
      </w:r>
      <w:r w:rsidR="0066113B">
        <w:rPr>
          <w:rFonts w:ascii="Times New Roman" w:hAnsi="Times New Roman" w:cs="Times New Roman"/>
          <w:sz w:val="28"/>
          <w:szCs w:val="28"/>
        </w:rPr>
        <w:t xml:space="preserve"> </w:t>
      </w:r>
      <w:r w:rsidR="0004231E" w:rsidRPr="00EE42EF">
        <w:rPr>
          <w:rFonts w:ascii="Times New Roman" w:hAnsi="Times New Roman" w:cs="Times New Roman"/>
          <w:sz w:val="28"/>
          <w:szCs w:val="28"/>
          <w:u w:val="single"/>
        </w:rPr>
        <w:t>vengano</w:t>
      </w:r>
      <w:r w:rsidRPr="00EE42EF">
        <w:rPr>
          <w:rFonts w:ascii="Times New Roman" w:hAnsi="Times New Roman" w:cs="Times New Roman"/>
          <w:sz w:val="28"/>
          <w:szCs w:val="28"/>
          <w:u w:val="single"/>
        </w:rPr>
        <w:t xml:space="preserve"> </w:t>
      </w:r>
      <w:r w:rsidR="0004231E" w:rsidRPr="00EE42EF">
        <w:rPr>
          <w:rFonts w:ascii="Times New Roman" w:hAnsi="Times New Roman" w:cs="Times New Roman"/>
          <w:sz w:val="28"/>
          <w:szCs w:val="28"/>
          <w:u w:val="single"/>
        </w:rPr>
        <w:t>redatti</w:t>
      </w:r>
      <w:r w:rsidR="00593E14" w:rsidRPr="00EE42EF">
        <w:rPr>
          <w:rFonts w:ascii="Times New Roman" w:hAnsi="Times New Roman" w:cs="Times New Roman"/>
          <w:sz w:val="28"/>
          <w:szCs w:val="28"/>
          <w:u w:val="single"/>
        </w:rPr>
        <w:t xml:space="preserve"> secondo criteri contabili non solo armonizzati (al fine di favorire le operazioni di consolidamento) ma anche rispondenti ai principi di attendibilità e veridicità</w:t>
      </w:r>
      <w:r w:rsidR="00593944">
        <w:rPr>
          <w:rFonts w:ascii="Times New Roman" w:hAnsi="Times New Roman" w:cs="Times New Roman"/>
          <w:sz w:val="28"/>
          <w:szCs w:val="28"/>
        </w:rPr>
        <w:t xml:space="preserve"> (a cui è funzionale, per esempio, la creazione di un’apposita posta finalizzata a rendere note le passività potenziali, fornendole anticipata e tempestiva copertura finanziaria)</w:t>
      </w:r>
      <w:r w:rsidRPr="006309F9">
        <w:rPr>
          <w:rFonts w:ascii="Times New Roman" w:hAnsi="Times New Roman" w:cs="Times New Roman"/>
          <w:sz w:val="28"/>
          <w:szCs w:val="28"/>
        </w:rPr>
        <w:t xml:space="preserve">. </w:t>
      </w:r>
    </w:p>
    <w:p w14:paraId="5B8C0BCD" w14:textId="542DEA45" w:rsidR="00C251A1" w:rsidRPr="006309F9" w:rsidRDefault="00593944" w:rsidP="006309F9">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Infine, p</w:t>
      </w:r>
      <w:r w:rsidR="00C251A1" w:rsidRPr="006309F9">
        <w:rPr>
          <w:rFonts w:ascii="Times New Roman" w:hAnsi="Times New Roman" w:cs="Times New Roman"/>
          <w:sz w:val="28"/>
          <w:szCs w:val="28"/>
        </w:rPr>
        <w:t xml:space="preserve">er realizzare le finalità del coordinamento </w:t>
      </w:r>
      <w:r>
        <w:rPr>
          <w:rFonts w:ascii="Times New Roman" w:hAnsi="Times New Roman" w:cs="Times New Roman"/>
          <w:sz w:val="28"/>
          <w:szCs w:val="28"/>
        </w:rPr>
        <w:t>della finanza pubblica</w:t>
      </w:r>
      <w:r w:rsidR="00C251A1" w:rsidRPr="006309F9">
        <w:rPr>
          <w:rFonts w:ascii="Times New Roman" w:hAnsi="Times New Roman" w:cs="Times New Roman"/>
          <w:sz w:val="28"/>
          <w:szCs w:val="28"/>
        </w:rPr>
        <w:t xml:space="preserve">, </w:t>
      </w:r>
      <w:r>
        <w:rPr>
          <w:rFonts w:ascii="Times New Roman" w:hAnsi="Times New Roman" w:cs="Times New Roman"/>
          <w:sz w:val="28"/>
          <w:szCs w:val="28"/>
        </w:rPr>
        <w:t xml:space="preserve">materia di </w:t>
      </w:r>
      <w:r w:rsidR="00097BF8">
        <w:rPr>
          <w:rFonts w:ascii="Times New Roman" w:hAnsi="Times New Roman" w:cs="Times New Roman"/>
          <w:sz w:val="28"/>
          <w:szCs w:val="28"/>
        </w:rPr>
        <w:t>competenza</w:t>
      </w:r>
      <w:r>
        <w:rPr>
          <w:rFonts w:ascii="Times New Roman" w:hAnsi="Times New Roman" w:cs="Times New Roman"/>
          <w:sz w:val="28"/>
          <w:szCs w:val="28"/>
        </w:rPr>
        <w:t xml:space="preserve"> concorrente fra Stato e regioni (</w:t>
      </w:r>
      <w:r w:rsidR="00C251A1" w:rsidRPr="006309F9">
        <w:rPr>
          <w:rFonts w:ascii="Times New Roman" w:hAnsi="Times New Roman" w:cs="Times New Roman"/>
          <w:sz w:val="28"/>
          <w:szCs w:val="28"/>
        </w:rPr>
        <w:t>art. 117, comma 3, Cost.</w:t>
      </w:r>
      <w:r>
        <w:rPr>
          <w:rFonts w:ascii="Times New Roman" w:hAnsi="Times New Roman" w:cs="Times New Roman"/>
          <w:sz w:val="28"/>
          <w:szCs w:val="28"/>
        </w:rPr>
        <w:t>), in particolare sotto il profilo dell’imposizione dei principi fondamentali che gli enti territoriali devono osservare</w:t>
      </w:r>
      <w:r w:rsidR="00C251A1" w:rsidRPr="006309F9">
        <w:rPr>
          <w:rFonts w:ascii="Times New Roman" w:hAnsi="Times New Roman" w:cs="Times New Roman"/>
          <w:sz w:val="28"/>
          <w:szCs w:val="28"/>
        </w:rPr>
        <w:t xml:space="preserve">, </w:t>
      </w:r>
      <w:r w:rsidR="00C251A1" w:rsidRPr="00EE42EF">
        <w:rPr>
          <w:rFonts w:ascii="Times New Roman" w:hAnsi="Times New Roman" w:cs="Times New Roman"/>
          <w:sz w:val="28"/>
          <w:szCs w:val="28"/>
          <w:u w:val="single"/>
        </w:rPr>
        <w:t xml:space="preserve">il controllo </w:t>
      </w:r>
      <w:r w:rsidRPr="00EE42EF">
        <w:rPr>
          <w:rFonts w:ascii="Times New Roman" w:hAnsi="Times New Roman" w:cs="Times New Roman"/>
          <w:sz w:val="28"/>
          <w:szCs w:val="28"/>
          <w:u w:val="single"/>
        </w:rPr>
        <w:t xml:space="preserve">sugli </w:t>
      </w:r>
      <w:r w:rsidR="00C251A1" w:rsidRPr="00EE42EF">
        <w:rPr>
          <w:rFonts w:ascii="Times New Roman" w:hAnsi="Times New Roman" w:cs="Times New Roman"/>
          <w:sz w:val="28"/>
          <w:szCs w:val="28"/>
          <w:u w:val="single"/>
        </w:rPr>
        <w:t>e</w:t>
      </w:r>
      <w:r w:rsidRPr="00EE42EF">
        <w:rPr>
          <w:rFonts w:ascii="Times New Roman" w:hAnsi="Times New Roman" w:cs="Times New Roman"/>
          <w:sz w:val="28"/>
          <w:szCs w:val="28"/>
          <w:u w:val="single"/>
        </w:rPr>
        <w:t>quilibri</w:t>
      </w:r>
      <w:r w:rsidR="00C251A1" w:rsidRPr="00EE42EF">
        <w:rPr>
          <w:rFonts w:ascii="Times New Roman" w:hAnsi="Times New Roman" w:cs="Times New Roman"/>
          <w:sz w:val="28"/>
          <w:szCs w:val="28"/>
          <w:u w:val="single"/>
        </w:rPr>
        <w:t xml:space="preserve"> di bil</w:t>
      </w:r>
      <w:r w:rsidRPr="00EE42EF">
        <w:rPr>
          <w:rFonts w:ascii="Times New Roman" w:hAnsi="Times New Roman" w:cs="Times New Roman"/>
          <w:sz w:val="28"/>
          <w:szCs w:val="28"/>
          <w:u w:val="single"/>
        </w:rPr>
        <w:t>a</w:t>
      </w:r>
      <w:r w:rsidR="00097BF8" w:rsidRPr="00EE42EF">
        <w:rPr>
          <w:rFonts w:ascii="Times New Roman" w:hAnsi="Times New Roman" w:cs="Times New Roman"/>
          <w:sz w:val="28"/>
          <w:szCs w:val="28"/>
          <w:u w:val="single"/>
        </w:rPr>
        <w:t>ncio non può limitarsi alla</w:t>
      </w:r>
      <w:r w:rsidR="00C251A1" w:rsidRPr="00EE42EF">
        <w:rPr>
          <w:rFonts w:ascii="Times New Roman" w:hAnsi="Times New Roman" w:cs="Times New Roman"/>
          <w:sz w:val="28"/>
          <w:szCs w:val="28"/>
          <w:u w:val="single"/>
        </w:rPr>
        <w:t xml:space="preserve"> veridicità</w:t>
      </w:r>
      <w:r w:rsidR="00097BF8" w:rsidRPr="00EE42EF">
        <w:rPr>
          <w:rFonts w:ascii="Times New Roman" w:hAnsi="Times New Roman" w:cs="Times New Roman"/>
          <w:sz w:val="28"/>
          <w:szCs w:val="28"/>
          <w:u w:val="single"/>
        </w:rPr>
        <w:t xml:space="preserve"> e attendibilità</w:t>
      </w:r>
      <w:r w:rsidRPr="00EE42EF">
        <w:rPr>
          <w:rFonts w:ascii="Times New Roman" w:hAnsi="Times New Roman" w:cs="Times New Roman"/>
          <w:sz w:val="28"/>
          <w:szCs w:val="28"/>
          <w:u w:val="single"/>
        </w:rPr>
        <w:t xml:space="preserve"> “statica”, ma</w:t>
      </w:r>
      <w:r w:rsidR="00C251A1" w:rsidRPr="00EE42EF">
        <w:rPr>
          <w:rFonts w:ascii="Times New Roman" w:hAnsi="Times New Roman" w:cs="Times New Roman"/>
          <w:sz w:val="28"/>
          <w:szCs w:val="28"/>
          <w:u w:val="single"/>
        </w:rPr>
        <w:t xml:space="preserve"> </w:t>
      </w:r>
      <w:r w:rsidR="00097BF8" w:rsidRPr="00EE42EF">
        <w:rPr>
          <w:rFonts w:ascii="Times New Roman" w:hAnsi="Times New Roman" w:cs="Times New Roman"/>
          <w:sz w:val="28"/>
          <w:szCs w:val="28"/>
          <w:u w:val="single"/>
        </w:rPr>
        <w:t xml:space="preserve">deve </w:t>
      </w:r>
      <w:r w:rsidR="00C251A1" w:rsidRPr="00EE42EF">
        <w:rPr>
          <w:rFonts w:ascii="Times New Roman" w:hAnsi="Times New Roman" w:cs="Times New Roman"/>
          <w:sz w:val="28"/>
          <w:szCs w:val="28"/>
          <w:u w:val="single"/>
        </w:rPr>
        <w:t>estenders</w:t>
      </w:r>
      <w:r w:rsidRPr="00EE42EF">
        <w:rPr>
          <w:rFonts w:ascii="Times New Roman" w:hAnsi="Times New Roman" w:cs="Times New Roman"/>
          <w:sz w:val="28"/>
          <w:szCs w:val="28"/>
          <w:u w:val="single"/>
        </w:rPr>
        <w:t>i alla</w:t>
      </w:r>
      <w:r w:rsidR="00C251A1" w:rsidRPr="00EE42EF">
        <w:rPr>
          <w:rFonts w:ascii="Times New Roman" w:hAnsi="Times New Roman" w:cs="Times New Roman"/>
          <w:sz w:val="28"/>
          <w:szCs w:val="28"/>
          <w:u w:val="single"/>
        </w:rPr>
        <w:t xml:space="preserve"> sostenibilità e </w:t>
      </w:r>
      <w:r w:rsidRPr="00EE42EF">
        <w:rPr>
          <w:rFonts w:ascii="Times New Roman" w:hAnsi="Times New Roman" w:cs="Times New Roman"/>
          <w:sz w:val="28"/>
          <w:szCs w:val="28"/>
          <w:u w:val="single"/>
        </w:rPr>
        <w:t xml:space="preserve">garanzia di </w:t>
      </w:r>
      <w:r w:rsidR="00C251A1" w:rsidRPr="00EE42EF">
        <w:rPr>
          <w:rFonts w:ascii="Times New Roman" w:hAnsi="Times New Roman" w:cs="Times New Roman"/>
          <w:sz w:val="28"/>
          <w:szCs w:val="28"/>
          <w:u w:val="single"/>
        </w:rPr>
        <w:t>conservazione nel tempo.</w:t>
      </w:r>
      <w:r w:rsidR="00C251A1" w:rsidRPr="006309F9">
        <w:rPr>
          <w:rFonts w:ascii="Times New Roman" w:hAnsi="Times New Roman" w:cs="Times New Roman"/>
          <w:sz w:val="28"/>
          <w:szCs w:val="28"/>
        </w:rPr>
        <w:t xml:space="preserve"> </w:t>
      </w:r>
      <w:r>
        <w:rPr>
          <w:rFonts w:ascii="Times New Roman" w:hAnsi="Times New Roman" w:cs="Times New Roman"/>
          <w:sz w:val="28"/>
          <w:szCs w:val="28"/>
        </w:rPr>
        <w:t xml:space="preserve">Sotto questo profilo, </w:t>
      </w:r>
      <w:r w:rsidR="00C251A1" w:rsidRPr="006309F9">
        <w:rPr>
          <w:rFonts w:ascii="Times New Roman" w:hAnsi="Times New Roman" w:cs="Times New Roman"/>
          <w:sz w:val="28"/>
          <w:szCs w:val="28"/>
        </w:rPr>
        <w:t xml:space="preserve">l’accertamento delle </w:t>
      </w:r>
      <w:r>
        <w:rPr>
          <w:rFonts w:ascii="Times New Roman" w:hAnsi="Times New Roman" w:cs="Times New Roman"/>
          <w:sz w:val="28"/>
          <w:szCs w:val="28"/>
        </w:rPr>
        <w:t>entrate, nonché</w:t>
      </w:r>
      <w:r w:rsidR="00097BF8">
        <w:rPr>
          <w:rFonts w:ascii="Times New Roman" w:hAnsi="Times New Roman" w:cs="Times New Roman"/>
          <w:sz w:val="28"/>
          <w:szCs w:val="28"/>
        </w:rPr>
        <w:t xml:space="preserve"> il loro mantenimento a rendiconto</w:t>
      </w:r>
      <w:r>
        <w:rPr>
          <w:rFonts w:ascii="Times New Roman" w:hAnsi="Times New Roman" w:cs="Times New Roman"/>
          <w:sz w:val="28"/>
          <w:szCs w:val="28"/>
        </w:rPr>
        <w:t xml:space="preserve"> quali residui attivi, al fine di prevenire il rischio di future </w:t>
      </w:r>
      <w:r w:rsidR="00097BF8">
        <w:rPr>
          <w:rFonts w:ascii="Times New Roman" w:hAnsi="Times New Roman" w:cs="Times New Roman"/>
          <w:sz w:val="28"/>
          <w:szCs w:val="28"/>
        </w:rPr>
        <w:t>insussistenze dell’attivo</w:t>
      </w:r>
      <w:r>
        <w:rPr>
          <w:rFonts w:ascii="Times New Roman" w:hAnsi="Times New Roman" w:cs="Times New Roman"/>
          <w:sz w:val="28"/>
          <w:szCs w:val="28"/>
        </w:rPr>
        <w:t xml:space="preserve">, deve essere accompagnato </w:t>
      </w:r>
      <w:r w:rsidR="00C251A1" w:rsidRPr="006309F9">
        <w:rPr>
          <w:rFonts w:ascii="Times New Roman" w:hAnsi="Times New Roman" w:cs="Times New Roman"/>
          <w:sz w:val="28"/>
          <w:szCs w:val="28"/>
        </w:rPr>
        <w:t>d</w:t>
      </w:r>
      <w:r>
        <w:rPr>
          <w:rFonts w:ascii="Times New Roman" w:hAnsi="Times New Roman" w:cs="Times New Roman"/>
          <w:sz w:val="28"/>
          <w:szCs w:val="28"/>
        </w:rPr>
        <w:t>a</w:t>
      </w:r>
      <w:r w:rsidR="00C251A1" w:rsidRPr="006309F9">
        <w:rPr>
          <w:rFonts w:ascii="Times New Roman" w:hAnsi="Times New Roman" w:cs="Times New Roman"/>
          <w:sz w:val="28"/>
          <w:szCs w:val="28"/>
        </w:rPr>
        <w:t xml:space="preserve">ll’obbligatoria istituzione di </w:t>
      </w:r>
      <w:r w:rsidR="00A5115D">
        <w:rPr>
          <w:rFonts w:ascii="Times New Roman" w:hAnsi="Times New Roman" w:cs="Times New Roman"/>
          <w:sz w:val="28"/>
          <w:szCs w:val="28"/>
        </w:rPr>
        <w:t>due</w:t>
      </w:r>
      <w:r w:rsidR="00C251A1" w:rsidRPr="006309F9">
        <w:rPr>
          <w:rFonts w:ascii="Times New Roman" w:hAnsi="Times New Roman" w:cs="Times New Roman"/>
          <w:sz w:val="28"/>
          <w:szCs w:val="28"/>
        </w:rPr>
        <w:t xml:space="preserve"> pos</w:t>
      </w:r>
      <w:r w:rsidR="00A5115D">
        <w:rPr>
          <w:rFonts w:ascii="Times New Roman" w:hAnsi="Times New Roman" w:cs="Times New Roman"/>
          <w:sz w:val="28"/>
          <w:szCs w:val="28"/>
        </w:rPr>
        <w:t>te</w:t>
      </w:r>
      <w:r w:rsidR="00C251A1" w:rsidRPr="006309F9">
        <w:rPr>
          <w:rFonts w:ascii="Times New Roman" w:hAnsi="Times New Roman" w:cs="Times New Roman"/>
          <w:sz w:val="28"/>
          <w:szCs w:val="28"/>
        </w:rPr>
        <w:t xml:space="preserve"> correttiv</w:t>
      </w:r>
      <w:r w:rsidR="00A5115D">
        <w:rPr>
          <w:rFonts w:ascii="Times New Roman" w:hAnsi="Times New Roman" w:cs="Times New Roman"/>
          <w:sz w:val="28"/>
          <w:szCs w:val="28"/>
        </w:rPr>
        <w:t>e</w:t>
      </w:r>
      <w:r w:rsidR="00C251A1" w:rsidRPr="006309F9">
        <w:rPr>
          <w:rFonts w:ascii="Times New Roman" w:hAnsi="Times New Roman" w:cs="Times New Roman"/>
          <w:sz w:val="28"/>
          <w:szCs w:val="28"/>
        </w:rPr>
        <w:t xml:space="preserve"> pru</w:t>
      </w:r>
      <w:r w:rsidR="00A5115D">
        <w:rPr>
          <w:rFonts w:ascii="Times New Roman" w:hAnsi="Times New Roman" w:cs="Times New Roman"/>
          <w:sz w:val="28"/>
          <w:szCs w:val="28"/>
        </w:rPr>
        <w:t>denziali</w:t>
      </w:r>
      <w:r>
        <w:rPr>
          <w:rFonts w:ascii="Times New Roman" w:hAnsi="Times New Roman" w:cs="Times New Roman"/>
          <w:sz w:val="28"/>
          <w:szCs w:val="28"/>
        </w:rPr>
        <w:t>, l’accantonamento (in parte spesa nel</w:t>
      </w:r>
      <w:r w:rsidR="00097BF8">
        <w:rPr>
          <w:rFonts w:ascii="Times New Roman" w:hAnsi="Times New Roman" w:cs="Times New Roman"/>
          <w:sz w:val="28"/>
          <w:szCs w:val="28"/>
        </w:rPr>
        <w:t xml:space="preserve"> bilancio del</w:t>
      </w:r>
      <w:r>
        <w:rPr>
          <w:rFonts w:ascii="Times New Roman" w:hAnsi="Times New Roman" w:cs="Times New Roman"/>
          <w:sz w:val="28"/>
          <w:szCs w:val="28"/>
        </w:rPr>
        <w:t xml:space="preserve">l’esercizio di competenza) </w:t>
      </w:r>
      <w:r w:rsidR="00A5115D">
        <w:rPr>
          <w:rFonts w:ascii="Times New Roman" w:hAnsi="Times New Roman" w:cs="Times New Roman"/>
          <w:sz w:val="28"/>
          <w:szCs w:val="28"/>
        </w:rPr>
        <w:t>ed il</w:t>
      </w:r>
      <w:r>
        <w:rPr>
          <w:rFonts w:ascii="Times New Roman" w:hAnsi="Times New Roman" w:cs="Times New Roman"/>
          <w:sz w:val="28"/>
          <w:szCs w:val="28"/>
        </w:rPr>
        <w:t xml:space="preserve"> f</w:t>
      </w:r>
      <w:r w:rsidR="00C251A1" w:rsidRPr="006309F9">
        <w:rPr>
          <w:rFonts w:ascii="Times New Roman" w:hAnsi="Times New Roman" w:cs="Times New Roman"/>
          <w:sz w:val="28"/>
          <w:szCs w:val="28"/>
        </w:rPr>
        <w:t>ond</w:t>
      </w:r>
      <w:r>
        <w:rPr>
          <w:rFonts w:ascii="Times New Roman" w:hAnsi="Times New Roman" w:cs="Times New Roman"/>
          <w:sz w:val="28"/>
          <w:szCs w:val="28"/>
        </w:rPr>
        <w:t>o crediti di dubbia esigibilità (quale quota accantonata del risultato d’amministrazione)</w:t>
      </w:r>
      <w:r>
        <w:rPr>
          <w:rStyle w:val="Rimandonotaapidipagina"/>
          <w:rFonts w:ascii="Times New Roman" w:hAnsi="Times New Roman" w:cs="Times New Roman"/>
          <w:sz w:val="28"/>
          <w:szCs w:val="28"/>
        </w:rPr>
        <w:footnoteReference w:id="10"/>
      </w:r>
      <w:r w:rsidR="00C251A1" w:rsidRPr="006309F9">
        <w:rPr>
          <w:rFonts w:ascii="Times New Roman" w:hAnsi="Times New Roman" w:cs="Times New Roman"/>
          <w:sz w:val="28"/>
          <w:szCs w:val="28"/>
        </w:rPr>
        <w:t xml:space="preserve">. </w:t>
      </w:r>
    </w:p>
    <w:p w14:paraId="26ADA6AB" w14:textId="444B1F06" w:rsidR="00C251A1" w:rsidRPr="006309F9" w:rsidRDefault="005A4512" w:rsidP="006309F9">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In tale ottica il</w:t>
      </w:r>
      <w:r w:rsidR="00C251A1" w:rsidRPr="006309F9">
        <w:rPr>
          <w:rFonts w:ascii="Times New Roman" w:hAnsi="Times New Roman" w:cs="Times New Roman"/>
          <w:sz w:val="28"/>
          <w:szCs w:val="28"/>
        </w:rPr>
        <w:t xml:space="preserve"> princi</w:t>
      </w:r>
      <w:r>
        <w:rPr>
          <w:rFonts w:ascii="Times New Roman" w:hAnsi="Times New Roman" w:cs="Times New Roman"/>
          <w:sz w:val="28"/>
          <w:szCs w:val="28"/>
        </w:rPr>
        <w:t>pio della copertura finanziaria</w:t>
      </w:r>
      <w:r w:rsidR="002B13A1">
        <w:rPr>
          <w:rFonts w:ascii="Times New Roman" w:hAnsi="Times New Roman" w:cs="Times New Roman"/>
          <w:sz w:val="28"/>
          <w:szCs w:val="28"/>
        </w:rPr>
        <w:t xml:space="preserve"> delle spese</w:t>
      </w:r>
      <w:r w:rsidR="00F67B52">
        <w:rPr>
          <w:rFonts w:ascii="Times New Roman" w:hAnsi="Times New Roman" w:cs="Times New Roman"/>
          <w:sz w:val="28"/>
          <w:szCs w:val="28"/>
        </w:rPr>
        <w:t xml:space="preserve"> e </w:t>
      </w:r>
      <w:r>
        <w:rPr>
          <w:rFonts w:ascii="Times New Roman" w:hAnsi="Times New Roman" w:cs="Times New Roman"/>
          <w:sz w:val="28"/>
          <w:szCs w:val="28"/>
        </w:rPr>
        <w:t>dell’equilibrio dei bilanci pubblici, imposti d</w:t>
      </w:r>
      <w:r w:rsidR="00C251A1" w:rsidRPr="006309F9">
        <w:rPr>
          <w:rFonts w:ascii="Times New Roman" w:hAnsi="Times New Roman" w:cs="Times New Roman"/>
          <w:sz w:val="28"/>
          <w:szCs w:val="28"/>
        </w:rPr>
        <w:t>a</w:t>
      </w:r>
      <w:r>
        <w:rPr>
          <w:rFonts w:ascii="Times New Roman" w:hAnsi="Times New Roman" w:cs="Times New Roman"/>
          <w:sz w:val="28"/>
          <w:szCs w:val="28"/>
        </w:rPr>
        <w:t xml:space="preserve">gli </w:t>
      </w:r>
      <w:r w:rsidR="00C251A1" w:rsidRPr="006309F9">
        <w:rPr>
          <w:rFonts w:ascii="Times New Roman" w:hAnsi="Times New Roman" w:cs="Times New Roman"/>
          <w:sz w:val="28"/>
          <w:szCs w:val="28"/>
        </w:rPr>
        <w:t>art</w:t>
      </w:r>
      <w:r>
        <w:rPr>
          <w:rFonts w:ascii="Times New Roman" w:hAnsi="Times New Roman" w:cs="Times New Roman"/>
          <w:sz w:val="28"/>
          <w:szCs w:val="28"/>
        </w:rPr>
        <w:t>t</w:t>
      </w:r>
      <w:r w:rsidR="00C251A1" w:rsidRPr="006309F9">
        <w:rPr>
          <w:rFonts w:ascii="Times New Roman" w:hAnsi="Times New Roman" w:cs="Times New Roman"/>
          <w:sz w:val="28"/>
          <w:szCs w:val="28"/>
        </w:rPr>
        <w:t xml:space="preserve">. 81 </w:t>
      </w:r>
      <w:r>
        <w:rPr>
          <w:rFonts w:ascii="Times New Roman" w:hAnsi="Times New Roman" w:cs="Times New Roman"/>
          <w:sz w:val="28"/>
          <w:szCs w:val="28"/>
        </w:rPr>
        <w:t xml:space="preserve">e 97 della </w:t>
      </w:r>
      <w:r w:rsidR="00C251A1" w:rsidRPr="006309F9">
        <w:rPr>
          <w:rFonts w:ascii="Times New Roman" w:hAnsi="Times New Roman" w:cs="Times New Roman"/>
          <w:sz w:val="28"/>
          <w:szCs w:val="28"/>
        </w:rPr>
        <w:t>Cost</w:t>
      </w:r>
      <w:r>
        <w:rPr>
          <w:rFonts w:ascii="Times New Roman" w:hAnsi="Times New Roman" w:cs="Times New Roman"/>
          <w:sz w:val="28"/>
          <w:szCs w:val="28"/>
        </w:rPr>
        <w:t>ituzione,</w:t>
      </w:r>
      <w:r w:rsidR="00C251A1" w:rsidRPr="006309F9">
        <w:rPr>
          <w:rFonts w:ascii="Times New Roman" w:hAnsi="Times New Roman" w:cs="Times New Roman"/>
          <w:sz w:val="28"/>
          <w:szCs w:val="28"/>
        </w:rPr>
        <w:t xml:space="preserve"> </w:t>
      </w:r>
      <w:r>
        <w:rPr>
          <w:rFonts w:ascii="Times New Roman" w:hAnsi="Times New Roman" w:cs="Times New Roman"/>
          <w:sz w:val="28"/>
          <w:szCs w:val="28"/>
        </w:rPr>
        <w:t>come novellati dalla legge costituzionale n. 1/2012, assurgono</w:t>
      </w:r>
      <w:r w:rsidR="00C251A1" w:rsidRPr="006309F9">
        <w:rPr>
          <w:rFonts w:ascii="Times New Roman" w:hAnsi="Times New Roman" w:cs="Times New Roman"/>
          <w:sz w:val="28"/>
          <w:szCs w:val="28"/>
        </w:rPr>
        <w:t xml:space="preserve"> a </w:t>
      </w:r>
      <w:r w:rsidR="00C251A1" w:rsidRPr="00EE42EF">
        <w:rPr>
          <w:rFonts w:ascii="Times New Roman" w:hAnsi="Times New Roman" w:cs="Times New Roman"/>
          <w:sz w:val="28"/>
          <w:szCs w:val="28"/>
          <w:u w:val="single"/>
        </w:rPr>
        <w:t>clausola generale</w:t>
      </w:r>
      <w:r w:rsidR="00C251A1" w:rsidRPr="006309F9">
        <w:rPr>
          <w:rFonts w:ascii="Times New Roman" w:hAnsi="Times New Roman" w:cs="Times New Roman"/>
          <w:sz w:val="28"/>
          <w:szCs w:val="28"/>
        </w:rPr>
        <w:t xml:space="preserve"> in grado di abbracciare tutti i fenomeni di squilibrio</w:t>
      </w:r>
      <w:r>
        <w:rPr>
          <w:rFonts w:ascii="Times New Roman" w:hAnsi="Times New Roman" w:cs="Times New Roman"/>
          <w:sz w:val="28"/>
          <w:szCs w:val="28"/>
        </w:rPr>
        <w:t>,</w:t>
      </w:r>
      <w:r w:rsidR="00C251A1" w:rsidRPr="006309F9">
        <w:rPr>
          <w:rFonts w:ascii="Times New Roman" w:hAnsi="Times New Roman" w:cs="Times New Roman"/>
          <w:sz w:val="28"/>
          <w:szCs w:val="28"/>
        </w:rPr>
        <w:t xml:space="preserve"> strutturale</w:t>
      </w:r>
      <w:r>
        <w:rPr>
          <w:rFonts w:ascii="Times New Roman" w:hAnsi="Times New Roman" w:cs="Times New Roman"/>
          <w:sz w:val="28"/>
          <w:szCs w:val="28"/>
        </w:rPr>
        <w:t xml:space="preserve"> o prospettico</w:t>
      </w:r>
      <w:r w:rsidR="00FB0754">
        <w:rPr>
          <w:rStyle w:val="Rimandonotaapidipagina"/>
          <w:rFonts w:ascii="Times New Roman" w:hAnsi="Times New Roman" w:cs="Times New Roman"/>
          <w:sz w:val="28"/>
          <w:szCs w:val="28"/>
        </w:rPr>
        <w:footnoteReference w:id="11"/>
      </w:r>
      <w:r>
        <w:rPr>
          <w:rFonts w:ascii="Times New Roman" w:hAnsi="Times New Roman" w:cs="Times New Roman"/>
          <w:sz w:val="28"/>
          <w:szCs w:val="28"/>
        </w:rPr>
        <w:t>,</w:t>
      </w:r>
      <w:r w:rsidR="00C251A1" w:rsidRPr="006309F9">
        <w:rPr>
          <w:rFonts w:ascii="Times New Roman" w:hAnsi="Times New Roman" w:cs="Times New Roman"/>
          <w:sz w:val="28"/>
          <w:szCs w:val="28"/>
        </w:rPr>
        <w:t xml:space="preserve"> </w:t>
      </w:r>
      <w:r w:rsidR="00F67B52">
        <w:rPr>
          <w:rFonts w:ascii="Times New Roman" w:hAnsi="Times New Roman" w:cs="Times New Roman"/>
          <w:sz w:val="28"/>
          <w:szCs w:val="28"/>
        </w:rPr>
        <w:t xml:space="preserve">nonché </w:t>
      </w:r>
      <w:r w:rsidR="00C251A1" w:rsidRPr="006309F9">
        <w:rPr>
          <w:rFonts w:ascii="Times New Roman" w:hAnsi="Times New Roman" w:cs="Times New Roman"/>
          <w:sz w:val="28"/>
          <w:szCs w:val="28"/>
        </w:rPr>
        <w:t xml:space="preserve">di colpire </w:t>
      </w:r>
      <w:r>
        <w:rPr>
          <w:rFonts w:ascii="Times New Roman" w:hAnsi="Times New Roman" w:cs="Times New Roman"/>
          <w:sz w:val="28"/>
          <w:szCs w:val="28"/>
        </w:rPr>
        <w:t xml:space="preserve">le </w:t>
      </w:r>
      <w:r w:rsidR="00C251A1" w:rsidRPr="006309F9">
        <w:rPr>
          <w:rFonts w:ascii="Times New Roman" w:hAnsi="Times New Roman" w:cs="Times New Roman"/>
          <w:sz w:val="28"/>
          <w:szCs w:val="28"/>
        </w:rPr>
        <w:t>norm</w:t>
      </w:r>
      <w:r>
        <w:rPr>
          <w:rFonts w:ascii="Times New Roman" w:hAnsi="Times New Roman" w:cs="Times New Roman"/>
          <w:sz w:val="28"/>
          <w:szCs w:val="28"/>
        </w:rPr>
        <w:t>e di legge</w:t>
      </w:r>
      <w:r w:rsidR="00097BF8">
        <w:rPr>
          <w:rFonts w:ascii="Times New Roman" w:hAnsi="Times New Roman" w:cs="Times New Roman"/>
          <w:sz w:val="28"/>
          <w:szCs w:val="28"/>
        </w:rPr>
        <w:t>, statali o regionali,</w:t>
      </w:r>
      <w:r>
        <w:rPr>
          <w:rFonts w:ascii="Times New Roman" w:hAnsi="Times New Roman" w:cs="Times New Roman"/>
          <w:sz w:val="28"/>
          <w:szCs w:val="28"/>
        </w:rPr>
        <w:t xml:space="preserve"> che possono causare e</w:t>
      </w:r>
      <w:r w:rsidR="00C251A1" w:rsidRPr="006309F9">
        <w:rPr>
          <w:rFonts w:ascii="Times New Roman" w:hAnsi="Times New Roman" w:cs="Times New Roman"/>
          <w:sz w:val="28"/>
          <w:szCs w:val="28"/>
        </w:rPr>
        <w:t>ffetti perturbanti la sana gestione finanziaria e contabile</w:t>
      </w:r>
      <w:r w:rsidR="00FB0754">
        <w:rPr>
          <w:rStyle w:val="Rimandonotaapidipagina"/>
          <w:rFonts w:ascii="Times New Roman" w:hAnsi="Times New Roman" w:cs="Times New Roman"/>
          <w:sz w:val="28"/>
          <w:szCs w:val="28"/>
        </w:rPr>
        <w:footnoteReference w:id="12"/>
      </w:r>
      <w:r w:rsidR="00C251A1" w:rsidRPr="006309F9">
        <w:rPr>
          <w:rFonts w:ascii="Times New Roman" w:hAnsi="Times New Roman" w:cs="Times New Roman"/>
          <w:sz w:val="28"/>
          <w:szCs w:val="28"/>
        </w:rPr>
        <w:t>.</w:t>
      </w:r>
    </w:p>
    <w:p w14:paraId="6DBF927F" w14:textId="5A89FC71" w:rsidR="008F1AB2" w:rsidRPr="006309F9" w:rsidRDefault="00FC21F3" w:rsidP="006309F9">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Gli accantonamen</w:t>
      </w:r>
      <w:r w:rsidR="00097BF8">
        <w:rPr>
          <w:rFonts w:ascii="Times New Roman" w:hAnsi="Times New Roman" w:cs="Times New Roman"/>
          <w:sz w:val="28"/>
          <w:szCs w:val="28"/>
        </w:rPr>
        <w:t>ti nel bilancio di previsione e</w:t>
      </w:r>
      <w:r>
        <w:rPr>
          <w:rFonts w:ascii="Times New Roman" w:hAnsi="Times New Roman" w:cs="Times New Roman"/>
          <w:sz w:val="28"/>
          <w:szCs w:val="28"/>
        </w:rPr>
        <w:t xml:space="preserve"> </w:t>
      </w:r>
      <w:r w:rsidR="00097BF8">
        <w:rPr>
          <w:rFonts w:ascii="Times New Roman" w:hAnsi="Times New Roman" w:cs="Times New Roman"/>
          <w:sz w:val="28"/>
          <w:szCs w:val="28"/>
        </w:rPr>
        <w:t xml:space="preserve">le quote accantonate </w:t>
      </w:r>
      <w:r>
        <w:rPr>
          <w:rFonts w:ascii="Times New Roman" w:hAnsi="Times New Roman" w:cs="Times New Roman"/>
          <w:sz w:val="28"/>
          <w:szCs w:val="28"/>
        </w:rPr>
        <w:t>nel risultato d’amministrazione (in maniera similare a quanto accade nella contabilità civilistica</w:t>
      </w:r>
      <w:r w:rsidR="00097BF8">
        <w:rPr>
          <w:rFonts w:ascii="Times New Roman" w:hAnsi="Times New Roman" w:cs="Times New Roman"/>
          <w:sz w:val="28"/>
          <w:szCs w:val="28"/>
        </w:rPr>
        <w:t>,</w:t>
      </w:r>
      <w:r>
        <w:rPr>
          <w:rFonts w:ascii="Times New Roman" w:hAnsi="Times New Roman" w:cs="Times New Roman"/>
          <w:sz w:val="28"/>
          <w:szCs w:val="28"/>
        </w:rPr>
        <w:t xml:space="preserve"> con gli accantonamenti in conto economico ed i fondi nel passivo dello stato patrimoniale) contribuiscono, appunto, a </w:t>
      </w:r>
      <w:r w:rsidR="00C251A1" w:rsidRPr="006309F9">
        <w:rPr>
          <w:rFonts w:ascii="Times New Roman" w:hAnsi="Times New Roman" w:cs="Times New Roman"/>
          <w:sz w:val="28"/>
          <w:szCs w:val="28"/>
        </w:rPr>
        <w:t>manten</w:t>
      </w:r>
      <w:r>
        <w:rPr>
          <w:rFonts w:ascii="Times New Roman" w:hAnsi="Times New Roman" w:cs="Times New Roman"/>
          <w:sz w:val="28"/>
          <w:szCs w:val="28"/>
        </w:rPr>
        <w:t>ere, nel tempo, un</w:t>
      </w:r>
      <w:r w:rsidR="00C251A1" w:rsidRPr="006309F9">
        <w:rPr>
          <w:rFonts w:ascii="Times New Roman" w:hAnsi="Times New Roman" w:cs="Times New Roman"/>
          <w:sz w:val="28"/>
          <w:szCs w:val="28"/>
        </w:rPr>
        <w:t xml:space="preserve"> simmetrico bilanciamento tra risorse disponibili e spese </w:t>
      </w:r>
      <w:r w:rsidR="001A0617">
        <w:rPr>
          <w:rFonts w:ascii="Times New Roman" w:hAnsi="Times New Roman" w:cs="Times New Roman"/>
          <w:sz w:val="28"/>
          <w:szCs w:val="28"/>
        </w:rPr>
        <w:t>n</w:t>
      </w:r>
      <w:r w:rsidR="00C251A1" w:rsidRPr="006309F9">
        <w:rPr>
          <w:rFonts w:ascii="Times New Roman" w:hAnsi="Times New Roman" w:cs="Times New Roman"/>
          <w:sz w:val="28"/>
          <w:szCs w:val="28"/>
        </w:rPr>
        <w:t>ecessarie per il perseguimento delle fin</w:t>
      </w:r>
      <w:r>
        <w:rPr>
          <w:rFonts w:ascii="Times New Roman" w:hAnsi="Times New Roman" w:cs="Times New Roman"/>
          <w:sz w:val="28"/>
          <w:szCs w:val="28"/>
        </w:rPr>
        <w:t>alità istituzionali</w:t>
      </w:r>
      <w:r w:rsidR="00C251A1" w:rsidRPr="006309F9">
        <w:rPr>
          <w:rFonts w:ascii="Times New Roman" w:hAnsi="Times New Roman" w:cs="Times New Roman"/>
          <w:sz w:val="28"/>
          <w:szCs w:val="28"/>
        </w:rPr>
        <w:t>.</w:t>
      </w:r>
      <w:r w:rsidR="001A0617">
        <w:rPr>
          <w:rFonts w:ascii="Times New Roman" w:hAnsi="Times New Roman" w:cs="Times New Roman"/>
          <w:sz w:val="28"/>
          <w:szCs w:val="28"/>
        </w:rPr>
        <w:t xml:space="preserve"> </w:t>
      </w:r>
      <w:r w:rsidR="008F1AB2" w:rsidRPr="00EE42EF">
        <w:rPr>
          <w:rFonts w:ascii="Times New Roman" w:hAnsi="Times New Roman" w:cs="Times New Roman"/>
          <w:sz w:val="28"/>
          <w:szCs w:val="28"/>
          <w:u w:val="single"/>
        </w:rPr>
        <w:t>I fondi e gli accantonamenti costituiscono</w:t>
      </w:r>
      <w:r w:rsidRPr="00EE42EF">
        <w:rPr>
          <w:rFonts w:ascii="Times New Roman" w:hAnsi="Times New Roman" w:cs="Times New Roman"/>
          <w:sz w:val="28"/>
          <w:szCs w:val="28"/>
          <w:u w:val="single"/>
        </w:rPr>
        <w:t>, infatti,</w:t>
      </w:r>
      <w:r w:rsidR="008F1AB2" w:rsidRPr="00EE42EF">
        <w:rPr>
          <w:rFonts w:ascii="Times New Roman" w:hAnsi="Times New Roman" w:cs="Times New Roman"/>
          <w:sz w:val="28"/>
          <w:szCs w:val="28"/>
          <w:u w:val="single"/>
        </w:rPr>
        <w:t xml:space="preserve"> uno strumento contabile preordinato a garantire gli equilibri di bilancio attraverso la preventiva </w:t>
      </w:r>
      <w:r w:rsidRPr="00EE42EF">
        <w:rPr>
          <w:rFonts w:ascii="Times New Roman" w:hAnsi="Times New Roman" w:cs="Times New Roman"/>
          <w:sz w:val="28"/>
          <w:szCs w:val="28"/>
          <w:u w:val="single"/>
        </w:rPr>
        <w:t>“</w:t>
      </w:r>
      <w:r w:rsidR="008F1AB2" w:rsidRPr="00161805">
        <w:rPr>
          <w:rFonts w:ascii="Times New Roman" w:hAnsi="Times New Roman" w:cs="Times New Roman"/>
          <w:i/>
          <w:iCs/>
          <w:sz w:val="28"/>
          <w:szCs w:val="28"/>
          <w:u w:val="single"/>
        </w:rPr>
        <w:t>sterilizzazione</w:t>
      </w:r>
      <w:r w:rsidRPr="00EE42EF">
        <w:rPr>
          <w:rFonts w:ascii="Times New Roman" w:hAnsi="Times New Roman" w:cs="Times New Roman"/>
          <w:sz w:val="28"/>
          <w:szCs w:val="28"/>
          <w:u w:val="single"/>
        </w:rPr>
        <w:t>”</w:t>
      </w:r>
      <w:r w:rsidR="008F1AB2" w:rsidRPr="00EE42EF">
        <w:rPr>
          <w:rFonts w:ascii="Times New Roman" w:hAnsi="Times New Roman" w:cs="Times New Roman"/>
          <w:sz w:val="28"/>
          <w:szCs w:val="28"/>
          <w:u w:val="single"/>
        </w:rPr>
        <w:t xml:space="preserve"> di una certa quantità di risorse</w:t>
      </w:r>
      <w:r>
        <w:rPr>
          <w:rFonts w:ascii="Times New Roman" w:hAnsi="Times New Roman" w:cs="Times New Roman"/>
          <w:sz w:val="28"/>
          <w:szCs w:val="28"/>
        </w:rPr>
        <w:t>,</w:t>
      </w:r>
      <w:r w:rsidR="008F1AB2" w:rsidRPr="006309F9">
        <w:rPr>
          <w:rFonts w:ascii="Times New Roman" w:hAnsi="Times New Roman" w:cs="Times New Roman"/>
          <w:sz w:val="28"/>
          <w:szCs w:val="28"/>
        </w:rPr>
        <w:t xml:space="preserve"> </w:t>
      </w:r>
      <w:r w:rsidR="001A0617">
        <w:rPr>
          <w:rFonts w:ascii="Times New Roman" w:hAnsi="Times New Roman" w:cs="Times New Roman"/>
          <w:sz w:val="28"/>
          <w:szCs w:val="28"/>
        </w:rPr>
        <w:t>atte</w:t>
      </w:r>
      <w:r w:rsidR="008F1AB2" w:rsidRPr="006309F9">
        <w:rPr>
          <w:rFonts w:ascii="Times New Roman" w:hAnsi="Times New Roman" w:cs="Times New Roman"/>
          <w:sz w:val="28"/>
          <w:szCs w:val="28"/>
        </w:rPr>
        <w:t xml:space="preserve"> a bilanciare </w:t>
      </w:r>
      <w:r w:rsidR="001A0617">
        <w:rPr>
          <w:rFonts w:ascii="Times New Roman" w:hAnsi="Times New Roman" w:cs="Times New Roman"/>
          <w:sz w:val="28"/>
          <w:szCs w:val="28"/>
        </w:rPr>
        <w:t xml:space="preserve">eventuali future </w:t>
      </w:r>
      <w:r w:rsidR="008F1AB2" w:rsidRPr="006309F9">
        <w:rPr>
          <w:rFonts w:ascii="Times New Roman" w:hAnsi="Times New Roman" w:cs="Times New Roman"/>
          <w:sz w:val="28"/>
          <w:szCs w:val="28"/>
        </w:rPr>
        <w:t xml:space="preserve">sopravvenienze </w:t>
      </w:r>
      <w:r w:rsidR="001A0617">
        <w:rPr>
          <w:rFonts w:ascii="Times New Roman" w:hAnsi="Times New Roman" w:cs="Times New Roman"/>
          <w:sz w:val="28"/>
          <w:szCs w:val="28"/>
        </w:rPr>
        <w:t>passive</w:t>
      </w:r>
      <w:r w:rsidR="008F1AB2" w:rsidRPr="006309F9">
        <w:rPr>
          <w:rFonts w:ascii="Times New Roman" w:hAnsi="Times New Roman" w:cs="Times New Roman"/>
          <w:sz w:val="28"/>
          <w:szCs w:val="28"/>
        </w:rPr>
        <w:t>.</w:t>
      </w:r>
      <w:r>
        <w:rPr>
          <w:rFonts w:ascii="Times New Roman" w:hAnsi="Times New Roman" w:cs="Times New Roman"/>
          <w:sz w:val="28"/>
          <w:szCs w:val="28"/>
        </w:rPr>
        <w:t xml:space="preserve"> </w:t>
      </w:r>
      <w:r w:rsidR="008F1AB2" w:rsidRPr="00EE42EF">
        <w:rPr>
          <w:rFonts w:ascii="Times New Roman" w:hAnsi="Times New Roman" w:cs="Times New Roman"/>
          <w:sz w:val="28"/>
          <w:szCs w:val="28"/>
          <w:u w:val="single"/>
        </w:rPr>
        <w:t>La previsione di dette poste deve</w:t>
      </w:r>
      <w:r w:rsidRPr="00EE42EF">
        <w:rPr>
          <w:rFonts w:ascii="Times New Roman" w:hAnsi="Times New Roman" w:cs="Times New Roman"/>
          <w:sz w:val="28"/>
          <w:szCs w:val="28"/>
          <w:u w:val="single"/>
        </w:rPr>
        <w:t xml:space="preserve"> essere congrua per due ragioni</w:t>
      </w:r>
      <w:r>
        <w:rPr>
          <w:rFonts w:ascii="Times New Roman" w:hAnsi="Times New Roman" w:cs="Times New Roman"/>
          <w:sz w:val="28"/>
          <w:szCs w:val="28"/>
        </w:rPr>
        <w:t>:</w:t>
      </w:r>
      <w:r w:rsidR="008F1AB2" w:rsidRPr="006309F9">
        <w:rPr>
          <w:rFonts w:ascii="Times New Roman" w:hAnsi="Times New Roman" w:cs="Times New Roman"/>
          <w:sz w:val="28"/>
          <w:szCs w:val="28"/>
        </w:rPr>
        <w:t xml:space="preserve"> da un lato</w:t>
      </w:r>
      <w:r w:rsidR="001A0617">
        <w:rPr>
          <w:rFonts w:ascii="Times New Roman" w:hAnsi="Times New Roman" w:cs="Times New Roman"/>
          <w:sz w:val="28"/>
          <w:szCs w:val="28"/>
        </w:rPr>
        <w:t>,</w:t>
      </w:r>
      <w:r w:rsidR="008F1AB2" w:rsidRPr="006309F9">
        <w:rPr>
          <w:rFonts w:ascii="Times New Roman" w:hAnsi="Times New Roman" w:cs="Times New Roman"/>
          <w:sz w:val="28"/>
          <w:szCs w:val="28"/>
        </w:rPr>
        <w:t xml:space="preserve"> </w:t>
      </w:r>
      <w:r w:rsidR="001A0617">
        <w:rPr>
          <w:rFonts w:ascii="Times New Roman" w:hAnsi="Times New Roman" w:cs="Times New Roman"/>
          <w:sz w:val="28"/>
          <w:szCs w:val="28"/>
        </w:rPr>
        <w:t xml:space="preserve">al fine di garantire un’adeguata </w:t>
      </w:r>
      <w:r w:rsidR="008F1AB2" w:rsidRPr="006309F9">
        <w:rPr>
          <w:rFonts w:ascii="Times New Roman" w:hAnsi="Times New Roman" w:cs="Times New Roman"/>
          <w:sz w:val="28"/>
          <w:szCs w:val="28"/>
        </w:rPr>
        <w:t xml:space="preserve">copertura del rischio </w:t>
      </w:r>
      <w:r w:rsidR="001A0617">
        <w:rPr>
          <w:rFonts w:ascii="Times New Roman" w:hAnsi="Times New Roman" w:cs="Times New Roman"/>
          <w:sz w:val="28"/>
          <w:szCs w:val="28"/>
        </w:rPr>
        <w:t>sottostante;</w:t>
      </w:r>
      <w:r w:rsidR="008F1AB2" w:rsidRPr="006309F9">
        <w:rPr>
          <w:rFonts w:ascii="Times New Roman" w:hAnsi="Times New Roman" w:cs="Times New Roman"/>
          <w:sz w:val="28"/>
          <w:szCs w:val="28"/>
        </w:rPr>
        <w:t xml:space="preserve"> dall’altro</w:t>
      </w:r>
      <w:r w:rsidR="001A0617">
        <w:rPr>
          <w:rFonts w:ascii="Times New Roman" w:hAnsi="Times New Roman" w:cs="Times New Roman"/>
          <w:sz w:val="28"/>
          <w:szCs w:val="28"/>
        </w:rPr>
        <w:t>,</w:t>
      </w:r>
      <w:r w:rsidR="008F1AB2" w:rsidRPr="006309F9">
        <w:rPr>
          <w:rFonts w:ascii="Times New Roman" w:hAnsi="Times New Roman" w:cs="Times New Roman"/>
          <w:sz w:val="28"/>
          <w:szCs w:val="28"/>
        </w:rPr>
        <w:t xml:space="preserve"> </w:t>
      </w:r>
      <w:r w:rsidR="001A0617">
        <w:rPr>
          <w:rFonts w:ascii="Times New Roman" w:hAnsi="Times New Roman" w:cs="Times New Roman"/>
          <w:sz w:val="28"/>
          <w:szCs w:val="28"/>
        </w:rPr>
        <w:t xml:space="preserve">per evitare che </w:t>
      </w:r>
      <w:r w:rsidR="008F1AB2" w:rsidRPr="006309F9">
        <w:rPr>
          <w:rFonts w:ascii="Times New Roman" w:hAnsi="Times New Roman" w:cs="Times New Roman"/>
          <w:sz w:val="28"/>
          <w:szCs w:val="28"/>
        </w:rPr>
        <w:t>l</w:t>
      </w:r>
      <w:r w:rsidR="001A0617">
        <w:rPr>
          <w:rFonts w:ascii="Times New Roman" w:hAnsi="Times New Roman" w:cs="Times New Roman"/>
          <w:sz w:val="28"/>
          <w:szCs w:val="28"/>
        </w:rPr>
        <w:t>o</w:t>
      </w:r>
      <w:r w:rsidR="008F1AB2" w:rsidRPr="006309F9">
        <w:rPr>
          <w:rFonts w:ascii="Times New Roman" w:hAnsi="Times New Roman" w:cs="Times New Roman"/>
          <w:sz w:val="28"/>
          <w:szCs w:val="28"/>
        </w:rPr>
        <w:t xml:space="preserve"> stanziamento </w:t>
      </w:r>
      <w:r w:rsidR="001A0617">
        <w:rPr>
          <w:rFonts w:ascii="Times New Roman" w:hAnsi="Times New Roman" w:cs="Times New Roman"/>
          <w:sz w:val="28"/>
          <w:szCs w:val="28"/>
        </w:rPr>
        <w:t xml:space="preserve">accantonato </w:t>
      </w:r>
      <w:r w:rsidR="008F1AB2" w:rsidRPr="006309F9">
        <w:rPr>
          <w:rFonts w:ascii="Times New Roman" w:hAnsi="Times New Roman" w:cs="Times New Roman"/>
          <w:sz w:val="28"/>
          <w:szCs w:val="28"/>
        </w:rPr>
        <w:t>non sottragga alla gestione risorse in misura superiore al necessario</w:t>
      </w:r>
      <w:r>
        <w:rPr>
          <w:rFonts w:ascii="Times New Roman" w:hAnsi="Times New Roman" w:cs="Times New Roman"/>
          <w:sz w:val="28"/>
          <w:szCs w:val="28"/>
        </w:rPr>
        <w:t>, irrigidendola impropriamente</w:t>
      </w:r>
      <w:r>
        <w:rPr>
          <w:rStyle w:val="Rimandonotaapidipagina"/>
          <w:rFonts w:ascii="Times New Roman" w:hAnsi="Times New Roman" w:cs="Times New Roman"/>
          <w:sz w:val="28"/>
          <w:szCs w:val="28"/>
        </w:rPr>
        <w:footnoteReference w:id="13"/>
      </w:r>
      <w:r>
        <w:rPr>
          <w:rFonts w:ascii="Times New Roman" w:hAnsi="Times New Roman" w:cs="Times New Roman"/>
          <w:sz w:val="28"/>
          <w:szCs w:val="28"/>
        </w:rPr>
        <w:t>.</w:t>
      </w:r>
    </w:p>
    <w:p w14:paraId="25E07D3B" w14:textId="47F44CB4" w:rsidR="00FC21F3" w:rsidRPr="006309F9" w:rsidRDefault="00FC21F3" w:rsidP="00FC21F3">
      <w:pPr>
        <w:spacing w:after="120" w:line="240" w:lineRule="auto"/>
        <w:jc w:val="both"/>
        <w:rPr>
          <w:rFonts w:ascii="Times New Roman" w:hAnsi="Times New Roman" w:cs="Times New Roman"/>
          <w:sz w:val="28"/>
          <w:szCs w:val="28"/>
        </w:rPr>
      </w:pPr>
      <w:r w:rsidRPr="00EE42EF">
        <w:rPr>
          <w:rFonts w:ascii="Times New Roman" w:hAnsi="Times New Roman" w:cs="Times New Roman"/>
          <w:sz w:val="28"/>
          <w:szCs w:val="28"/>
          <w:u w:val="single"/>
        </w:rPr>
        <w:t>Va concettualmente, oltre che contabilmente, distinto dai fondi finora accennati, il “</w:t>
      </w:r>
      <w:r w:rsidRPr="00EE42EF">
        <w:rPr>
          <w:rFonts w:ascii="Times New Roman" w:hAnsi="Times New Roman" w:cs="Times New Roman"/>
          <w:i/>
          <w:sz w:val="28"/>
          <w:szCs w:val="28"/>
          <w:u w:val="single"/>
        </w:rPr>
        <w:t>fondo pluriennale vincolato</w:t>
      </w:r>
      <w:r w:rsidRPr="00EE42EF">
        <w:rPr>
          <w:rFonts w:ascii="Times New Roman" w:hAnsi="Times New Roman" w:cs="Times New Roman"/>
          <w:sz w:val="28"/>
          <w:szCs w:val="28"/>
          <w:u w:val="single"/>
        </w:rPr>
        <w:t>”</w:t>
      </w:r>
      <w:r>
        <w:rPr>
          <w:rFonts w:ascii="Times New Roman" w:hAnsi="Times New Roman" w:cs="Times New Roman"/>
          <w:sz w:val="28"/>
          <w:szCs w:val="28"/>
        </w:rPr>
        <w:t xml:space="preserve">, introdotto anch’esso dal sistema di contabilità armonizzata (art. </w:t>
      </w:r>
      <w:r w:rsidR="00A0585B">
        <w:rPr>
          <w:rFonts w:ascii="Times New Roman" w:hAnsi="Times New Roman" w:cs="Times New Roman"/>
          <w:sz w:val="28"/>
          <w:szCs w:val="28"/>
        </w:rPr>
        <w:t>3, comma 5, e punto 5.4 dell’Allegato 4/2 al d.lgs. n. 118/2011), che costituisce lo strumento atto a garantire la copertura finanziaria delle spese imputate, in ragione della nuova configurazione del principio della competenza finanziaria (c.d. potenziata, cfr. postulato n. 16 dell’Allegato 1 al d.lgs. n. 118/2011 e punto 2 del d.lgs. n. 118/2011), ad un esercizio successivo rispet</w:t>
      </w:r>
      <w:r w:rsidR="006D6B7E">
        <w:rPr>
          <w:rFonts w:ascii="Times New Roman" w:hAnsi="Times New Roman" w:cs="Times New Roman"/>
          <w:sz w:val="28"/>
          <w:szCs w:val="28"/>
        </w:rPr>
        <w:t>to a quello di imputazione delle correlate entrate</w:t>
      </w:r>
      <w:r w:rsidR="00A0585B">
        <w:rPr>
          <w:rFonts w:ascii="Times New Roman" w:hAnsi="Times New Roman" w:cs="Times New Roman"/>
          <w:sz w:val="28"/>
          <w:szCs w:val="28"/>
        </w:rPr>
        <w:t>.</w:t>
      </w:r>
      <w:r>
        <w:rPr>
          <w:rFonts w:ascii="Times New Roman" w:hAnsi="Times New Roman" w:cs="Times New Roman"/>
          <w:sz w:val="28"/>
          <w:szCs w:val="28"/>
        </w:rPr>
        <w:t xml:space="preserve"> </w:t>
      </w:r>
      <w:r w:rsidR="00A0585B">
        <w:rPr>
          <w:rFonts w:ascii="Times New Roman" w:hAnsi="Times New Roman" w:cs="Times New Roman"/>
          <w:sz w:val="28"/>
          <w:szCs w:val="28"/>
        </w:rPr>
        <w:t xml:space="preserve">Il fondo pluriennale vincolato (da iscrivere quale posta di entrata nel bilancio di previsione), nonché il simmetrico fondo pluriennale di spesa (da iscrivere quale posta di uscita nel bilancio di previsione), oltre </w:t>
      </w:r>
      <w:r w:rsidR="006D6B7E">
        <w:rPr>
          <w:rFonts w:ascii="Times New Roman" w:hAnsi="Times New Roman" w:cs="Times New Roman"/>
          <w:sz w:val="28"/>
          <w:szCs w:val="28"/>
        </w:rPr>
        <w:t>a</w:t>
      </w:r>
      <w:r w:rsidR="00A0585B">
        <w:rPr>
          <w:rFonts w:ascii="Times New Roman" w:hAnsi="Times New Roman" w:cs="Times New Roman"/>
          <w:sz w:val="28"/>
          <w:szCs w:val="28"/>
        </w:rPr>
        <w:t xml:space="preserve">ll’esigenza di garantire l’equilibrio finanziario nel corso del tempo, costituiscono eccezione ai postulati di </w:t>
      </w:r>
      <w:r w:rsidRPr="006309F9">
        <w:rPr>
          <w:rFonts w:ascii="Times New Roman" w:hAnsi="Times New Roman" w:cs="Times New Roman"/>
          <w:sz w:val="28"/>
          <w:szCs w:val="28"/>
        </w:rPr>
        <w:t>unità</w:t>
      </w:r>
      <w:r w:rsidR="00A0585B">
        <w:rPr>
          <w:rFonts w:ascii="Times New Roman" w:hAnsi="Times New Roman" w:cs="Times New Roman"/>
          <w:sz w:val="28"/>
          <w:szCs w:val="28"/>
        </w:rPr>
        <w:t xml:space="preserve"> e </w:t>
      </w:r>
      <w:r>
        <w:rPr>
          <w:rFonts w:ascii="Times New Roman" w:hAnsi="Times New Roman" w:cs="Times New Roman"/>
          <w:sz w:val="28"/>
          <w:szCs w:val="28"/>
        </w:rPr>
        <w:t>universalità</w:t>
      </w:r>
      <w:r w:rsidR="00A0585B">
        <w:rPr>
          <w:rFonts w:ascii="Times New Roman" w:hAnsi="Times New Roman" w:cs="Times New Roman"/>
          <w:sz w:val="28"/>
          <w:szCs w:val="28"/>
        </w:rPr>
        <w:t xml:space="preserve"> del bilancio (</w:t>
      </w:r>
      <w:r w:rsidR="006D6B7E">
        <w:rPr>
          <w:rFonts w:ascii="Times New Roman" w:hAnsi="Times New Roman" w:cs="Times New Roman"/>
          <w:sz w:val="28"/>
          <w:szCs w:val="28"/>
        </w:rPr>
        <w:t>n</w:t>
      </w:r>
      <w:r w:rsidR="00A0585B">
        <w:rPr>
          <w:rFonts w:ascii="Times New Roman" w:hAnsi="Times New Roman" w:cs="Times New Roman"/>
          <w:sz w:val="28"/>
          <w:szCs w:val="28"/>
        </w:rPr>
        <w:t xml:space="preserve">. 2 e </w:t>
      </w:r>
      <w:r w:rsidR="006D6B7E">
        <w:rPr>
          <w:rFonts w:ascii="Times New Roman" w:hAnsi="Times New Roman" w:cs="Times New Roman"/>
          <w:sz w:val="28"/>
          <w:szCs w:val="28"/>
        </w:rPr>
        <w:t xml:space="preserve">n. </w:t>
      </w:r>
      <w:r w:rsidR="00A0585B">
        <w:rPr>
          <w:rFonts w:ascii="Times New Roman" w:hAnsi="Times New Roman" w:cs="Times New Roman"/>
          <w:sz w:val="28"/>
          <w:szCs w:val="28"/>
        </w:rPr>
        <w:t>3 dell’Allegato 1 al d.lgs. n. 118/2011)</w:t>
      </w:r>
      <w:r w:rsidRPr="006309F9">
        <w:rPr>
          <w:rFonts w:ascii="Times New Roman" w:hAnsi="Times New Roman" w:cs="Times New Roman"/>
          <w:sz w:val="28"/>
          <w:szCs w:val="28"/>
        </w:rPr>
        <w:t xml:space="preserve">. </w:t>
      </w:r>
      <w:r w:rsidR="00A0585B">
        <w:rPr>
          <w:rFonts w:ascii="Times New Roman" w:hAnsi="Times New Roman" w:cs="Times New Roman"/>
          <w:sz w:val="28"/>
          <w:szCs w:val="28"/>
        </w:rPr>
        <w:t xml:space="preserve">Questi ultimi esigono, infatti, </w:t>
      </w:r>
      <w:r w:rsidRPr="006309F9">
        <w:rPr>
          <w:rFonts w:ascii="Times New Roman" w:hAnsi="Times New Roman" w:cs="Times New Roman"/>
          <w:sz w:val="28"/>
          <w:szCs w:val="28"/>
        </w:rPr>
        <w:t>che tutte le entrate, a prescindere dalla loro origine, concorrano alla copertura di tutte le spese, con conseguente divieto di prevedere una specifica correlazione tra singola entrata e singola uscita, salvo le deroghe espressamente previste dalla legge</w:t>
      </w:r>
      <w:r w:rsidR="00A0585B">
        <w:rPr>
          <w:rStyle w:val="Rimandonotaapidipagina"/>
          <w:rFonts w:ascii="Times New Roman" w:hAnsi="Times New Roman" w:cs="Times New Roman"/>
          <w:sz w:val="28"/>
          <w:szCs w:val="28"/>
        </w:rPr>
        <w:footnoteReference w:id="14"/>
      </w:r>
      <w:r w:rsidRPr="006309F9">
        <w:rPr>
          <w:rFonts w:ascii="Times New Roman" w:hAnsi="Times New Roman" w:cs="Times New Roman"/>
          <w:sz w:val="28"/>
          <w:szCs w:val="28"/>
        </w:rPr>
        <w:t>.</w:t>
      </w:r>
    </w:p>
    <w:p w14:paraId="402A10D5" w14:textId="231471A5" w:rsidR="00110AFC" w:rsidRPr="006309F9" w:rsidRDefault="00110AFC" w:rsidP="006309F9">
      <w:pPr>
        <w:spacing w:after="120" w:line="240" w:lineRule="auto"/>
        <w:jc w:val="both"/>
        <w:rPr>
          <w:rFonts w:ascii="Times New Roman" w:hAnsi="Times New Roman" w:cs="Times New Roman"/>
          <w:sz w:val="28"/>
          <w:szCs w:val="28"/>
        </w:rPr>
      </w:pPr>
    </w:p>
    <w:p w14:paraId="62588667" w14:textId="2353B86E" w:rsidR="0028307E" w:rsidRPr="006309F9" w:rsidRDefault="00FF4D84" w:rsidP="006309F9">
      <w:pPr>
        <w:pStyle w:val="Titolo3"/>
        <w:spacing w:before="0" w:after="120" w:line="240" w:lineRule="auto"/>
        <w:rPr>
          <w:szCs w:val="28"/>
        </w:rPr>
      </w:pPr>
      <w:bookmarkStart w:id="2" w:name="_Toc1148496"/>
      <w:r>
        <w:rPr>
          <w:szCs w:val="28"/>
        </w:rPr>
        <w:t>1</w:t>
      </w:r>
      <w:r w:rsidR="0028307E" w:rsidRPr="006309F9">
        <w:rPr>
          <w:szCs w:val="28"/>
        </w:rPr>
        <w:t>.1.1 Il fondo pluriennale vincolato</w:t>
      </w:r>
      <w:bookmarkEnd w:id="2"/>
    </w:p>
    <w:p w14:paraId="631AA5F6" w14:textId="57315C9E" w:rsidR="00653FD3" w:rsidRPr="00653FD3" w:rsidRDefault="00653FD3" w:rsidP="00653FD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L’art. 3, comma </w:t>
      </w:r>
      <w:r w:rsidRPr="00653FD3">
        <w:rPr>
          <w:rFonts w:ascii="Times New Roman" w:hAnsi="Times New Roman" w:cs="Times New Roman"/>
          <w:sz w:val="28"/>
          <w:szCs w:val="28"/>
        </w:rPr>
        <w:t>5</w:t>
      </w:r>
      <w:r>
        <w:rPr>
          <w:rFonts w:ascii="Times New Roman" w:hAnsi="Times New Roman" w:cs="Times New Roman"/>
          <w:sz w:val="28"/>
          <w:szCs w:val="28"/>
        </w:rPr>
        <w:t>, del d.lgs. n. 118/2011 dispone che gli enti territoriali, a</w:t>
      </w:r>
      <w:r w:rsidRPr="00653FD3">
        <w:rPr>
          <w:rFonts w:ascii="Times New Roman" w:hAnsi="Times New Roman" w:cs="Times New Roman"/>
          <w:sz w:val="28"/>
          <w:szCs w:val="28"/>
        </w:rPr>
        <w:t>l fine di dare attuazione al principio contabile generale della competenza finanziaria</w:t>
      </w:r>
      <w:r w:rsidR="006D6B7E">
        <w:rPr>
          <w:rFonts w:ascii="Times New Roman" w:hAnsi="Times New Roman" w:cs="Times New Roman"/>
          <w:sz w:val="28"/>
          <w:szCs w:val="28"/>
        </w:rPr>
        <w:t>,</w:t>
      </w:r>
      <w:r w:rsidRPr="00653FD3">
        <w:rPr>
          <w:rFonts w:ascii="Times New Roman" w:hAnsi="Times New Roman" w:cs="Times New Roman"/>
          <w:sz w:val="28"/>
          <w:szCs w:val="28"/>
        </w:rPr>
        <w:t xml:space="preserve"> enunciato nell'</w:t>
      </w:r>
      <w:r w:rsidR="006D6B7E">
        <w:rPr>
          <w:rFonts w:ascii="Times New Roman" w:hAnsi="Times New Roman" w:cs="Times New Roman"/>
          <w:sz w:val="28"/>
          <w:szCs w:val="28"/>
        </w:rPr>
        <w:t>A</w:t>
      </w:r>
      <w:r w:rsidRPr="00653FD3">
        <w:rPr>
          <w:rFonts w:ascii="Times New Roman" w:hAnsi="Times New Roman" w:cs="Times New Roman"/>
          <w:sz w:val="28"/>
          <w:szCs w:val="28"/>
        </w:rPr>
        <w:t>llegato 1</w:t>
      </w:r>
      <w:r>
        <w:rPr>
          <w:rFonts w:ascii="Times New Roman" w:hAnsi="Times New Roman" w:cs="Times New Roman"/>
          <w:sz w:val="28"/>
          <w:szCs w:val="28"/>
        </w:rPr>
        <w:t xml:space="preserve"> (punto n. 16)</w:t>
      </w:r>
      <w:r w:rsidRPr="00653FD3">
        <w:rPr>
          <w:rFonts w:ascii="Times New Roman" w:hAnsi="Times New Roman" w:cs="Times New Roman"/>
          <w:sz w:val="28"/>
          <w:szCs w:val="28"/>
        </w:rPr>
        <w:t xml:space="preserve"> al </w:t>
      </w:r>
      <w:r>
        <w:rPr>
          <w:rFonts w:ascii="Times New Roman" w:hAnsi="Times New Roman" w:cs="Times New Roman"/>
          <w:sz w:val="28"/>
          <w:szCs w:val="28"/>
        </w:rPr>
        <w:t>medesimo</w:t>
      </w:r>
      <w:r w:rsidRPr="00653FD3">
        <w:rPr>
          <w:rFonts w:ascii="Times New Roman" w:hAnsi="Times New Roman" w:cs="Times New Roman"/>
          <w:sz w:val="28"/>
          <w:szCs w:val="28"/>
        </w:rPr>
        <w:t xml:space="preserve"> decreto, </w:t>
      </w:r>
      <w:r>
        <w:rPr>
          <w:rFonts w:ascii="Times New Roman" w:hAnsi="Times New Roman" w:cs="Times New Roman"/>
          <w:sz w:val="28"/>
          <w:szCs w:val="28"/>
        </w:rPr>
        <w:t xml:space="preserve">devono iscrivere, </w:t>
      </w:r>
      <w:r w:rsidRPr="00653FD3">
        <w:rPr>
          <w:rFonts w:ascii="Times New Roman" w:hAnsi="Times New Roman" w:cs="Times New Roman"/>
          <w:sz w:val="28"/>
          <w:szCs w:val="28"/>
        </w:rPr>
        <w:t xml:space="preserve">negli schemi di bilancio </w:t>
      </w:r>
      <w:r>
        <w:rPr>
          <w:rFonts w:ascii="Times New Roman" w:hAnsi="Times New Roman" w:cs="Times New Roman"/>
          <w:sz w:val="28"/>
          <w:szCs w:val="28"/>
        </w:rPr>
        <w:t xml:space="preserve">(previsti dal successivo </w:t>
      </w:r>
      <w:r w:rsidRPr="00653FD3">
        <w:rPr>
          <w:rFonts w:ascii="Times New Roman" w:hAnsi="Times New Roman" w:cs="Times New Roman"/>
          <w:sz w:val="28"/>
          <w:szCs w:val="28"/>
        </w:rPr>
        <w:t>art. 11, comma 1</w:t>
      </w:r>
      <w:r>
        <w:rPr>
          <w:rFonts w:ascii="Times New Roman" w:hAnsi="Times New Roman" w:cs="Times New Roman"/>
          <w:sz w:val="28"/>
          <w:szCs w:val="28"/>
        </w:rPr>
        <w:t xml:space="preserve">, lettere </w:t>
      </w:r>
      <w:r w:rsidRPr="00653FD3">
        <w:rPr>
          <w:rFonts w:ascii="Times New Roman" w:hAnsi="Times New Roman" w:cs="Times New Roman"/>
          <w:i/>
          <w:sz w:val="28"/>
          <w:szCs w:val="28"/>
        </w:rPr>
        <w:t>a</w:t>
      </w:r>
      <w:r w:rsidRPr="00653FD3">
        <w:rPr>
          <w:rFonts w:ascii="Times New Roman" w:hAnsi="Times New Roman" w:cs="Times New Roman"/>
          <w:sz w:val="28"/>
          <w:szCs w:val="28"/>
        </w:rPr>
        <w:t xml:space="preserve"> e </w:t>
      </w:r>
      <w:r w:rsidRPr="00653FD3">
        <w:rPr>
          <w:rFonts w:ascii="Times New Roman" w:hAnsi="Times New Roman" w:cs="Times New Roman"/>
          <w:i/>
          <w:sz w:val="28"/>
          <w:szCs w:val="28"/>
        </w:rPr>
        <w:t>b</w:t>
      </w:r>
      <w:r>
        <w:rPr>
          <w:rFonts w:ascii="Times New Roman" w:hAnsi="Times New Roman" w:cs="Times New Roman"/>
          <w:sz w:val="28"/>
          <w:szCs w:val="28"/>
        </w:rPr>
        <w:t>), un</w:t>
      </w:r>
      <w:r w:rsidRPr="00653FD3">
        <w:rPr>
          <w:rFonts w:ascii="Times New Roman" w:hAnsi="Times New Roman" w:cs="Times New Roman"/>
          <w:sz w:val="28"/>
          <w:szCs w:val="28"/>
        </w:rPr>
        <w:t xml:space="preserve"> </w:t>
      </w:r>
      <w:r>
        <w:rPr>
          <w:rFonts w:ascii="Times New Roman" w:hAnsi="Times New Roman" w:cs="Times New Roman"/>
          <w:sz w:val="28"/>
          <w:szCs w:val="28"/>
        </w:rPr>
        <w:t>“</w:t>
      </w:r>
      <w:r w:rsidRPr="00EE42EF">
        <w:rPr>
          <w:rFonts w:ascii="Times New Roman" w:hAnsi="Times New Roman" w:cs="Times New Roman"/>
          <w:i/>
          <w:sz w:val="28"/>
          <w:szCs w:val="28"/>
          <w:u w:val="single"/>
        </w:rPr>
        <w:t>fondo per la copertura degli impegni pluriennali derivanti da obbligazioni sorte negli esercizi precedenti</w:t>
      </w:r>
      <w:r>
        <w:rPr>
          <w:rFonts w:ascii="Times New Roman" w:hAnsi="Times New Roman" w:cs="Times New Roman"/>
          <w:sz w:val="28"/>
          <w:szCs w:val="28"/>
        </w:rPr>
        <w:t>”</w:t>
      </w:r>
      <w:r w:rsidRPr="00653FD3">
        <w:rPr>
          <w:rFonts w:ascii="Times New Roman" w:hAnsi="Times New Roman" w:cs="Times New Roman"/>
          <w:sz w:val="28"/>
          <w:szCs w:val="28"/>
        </w:rPr>
        <w:t xml:space="preserve"> </w:t>
      </w:r>
      <w:r>
        <w:rPr>
          <w:rFonts w:ascii="Times New Roman" w:hAnsi="Times New Roman" w:cs="Times New Roman"/>
          <w:sz w:val="28"/>
          <w:szCs w:val="28"/>
        </w:rPr>
        <w:t>(denominato, in sintesi, anche nel testo legislativo,</w:t>
      </w:r>
      <w:r w:rsidRPr="00653FD3">
        <w:rPr>
          <w:rFonts w:ascii="Times New Roman" w:hAnsi="Times New Roman" w:cs="Times New Roman"/>
          <w:sz w:val="28"/>
          <w:szCs w:val="28"/>
        </w:rPr>
        <w:t xml:space="preserve"> </w:t>
      </w:r>
      <w:r>
        <w:rPr>
          <w:rFonts w:ascii="Times New Roman" w:hAnsi="Times New Roman" w:cs="Times New Roman"/>
          <w:sz w:val="28"/>
          <w:szCs w:val="28"/>
        </w:rPr>
        <w:t>“</w:t>
      </w:r>
      <w:r w:rsidRPr="006D6B7E">
        <w:rPr>
          <w:rFonts w:ascii="Times New Roman" w:hAnsi="Times New Roman" w:cs="Times New Roman"/>
          <w:i/>
          <w:sz w:val="28"/>
          <w:szCs w:val="28"/>
        </w:rPr>
        <w:t>fondo pluriennale vincolato</w:t>
      </w:r>
      <w:r>
        <w:rPr>
          <w:rFonts w:ascii="Times New Roman" w:hAnsi="Times New Roman" w:cs="Times New Roman"/>
          <w:sz w:val="28"/>
          <w:szCs w:val="28"/>
        </w:rPr>
        <w:t>”), costituito</w:t>
      </w:r>
      <w:r w:rsidRPr="00653FD3">
        <w:rPr>
          <w:rFonts w:ascii="Times New Roman" w:hAnsi="Times New Roman" w:cs="Times New Roman"/>
          <w:sz w:val="28"/>
          <w:szCs w:val="28"/>
        </w:rPr>
        <w:t>:</w:t>
      </w:r>
    </w:p>
    <w:p w14:paraId="105DBDF0" w14:textId="023E5791" w:rsidR="00653FD3" w:rsidRPr="00653FD3" w:rsidRDefault="00653FD3" w:rsidP="00653FD3">
      <w:pPr>
        <w:spacing w:after="120" w:line="240" w:lineRule="auto"/>
        <w:jc w:val="both"/>
        <w:rPr>
          <w:rFonts w:ascii="Times New Roman" w:hAnsi="Times New Roman" w:cs="Times New Roman"/>
          <w:sz w:val="28"/>
          <w:szCs w:val="28"/>
        </w:rPr>
      </w:pPr>
      <w:r w:rsidRPr="00653FD3">
        <w:rPr>
          <w:rFonts w:ascii="Times New Roman" w:hAnsi="Times New Roman" w:cs="Times New Roman"/>
          <w:sz w:val="28"/>
          <w:szCs w:val="28"/>
        </w:rPr>
        <w:t xml:space="preserve">a) </w:t>
      </w:r>
      <w:r w:rsidRPr="00653FD3">
        <w:rPr>
          <w:rFonts w:ascii="Times New Roman" w:hAnsi="Times New Roman" w:cs="Times New Roman"/>
          <w:sz w:val="28"/>
          <w:szCs w:val="28"/>
          <w:u w:val="single"/>
        </w:rPr>
        <w:t>in entrata</w:t>
      </w:r>
      <w:r w:rsidRPr="00653FD3">
        <w:rPr>
          <w:rFonts w:ascii="Times New Roman" w:hAnsi="Times New Roman" w:cs="Times New Roman"/>
          <w:sz w:val="28"/>
          <w:szCs w:val="28"/>
        </w:rPr>
        <w:t>, da due voci</w:t>
      </w:r>
      <w:r>
        <w:rPr>
          <w:rFonts w:ascii="Times New Roman" w:hAnsi="Times New Roman" w:cs="Times New Roman"/>
          <w:sz w:val="28"/>
          <w:szCs w:val="28"/>
        </w:rPr>
        <w:t>,</w:t>
      </w:r>
      <w:r w:rsidRPr="00653FD3">
        <w:rPr>
          <w:rFonts w:ascii="Times New Roman" w:hAnsi="Times New Roman" w:cs="Times New Roman"/>
          <w:sz w:val="28"/>
          <w:szCs w:val="28"/>
        </w:rPr>
        <w:t xml:space="preserve"> riguardanti</w:t>
      </w:r>
      <w:r>
        <w:rPr>
          <w:rFonts w:ascii="Times New Roman" w:hAnsi="Times New Roman" w:cs="Times New Roman"/>
          <w:sz w:val="28"/>
          <w:szCs w:val="28"/>
        </w:rPr>
        <w:t>, distintamente,</w:t>
      </w:r>
      <w:r w:rsidRPr="00653FD3">
        <w:rPr>
          <w:rFonts w:ascii="Times New Roman" w:hAnsi="Times New Roman" w:cs="Times New Roman"/>
          <w:sz w:val="28"/>
          <w:szCs w:val="28"/>
        </w:rPr>
        <w:t xml:space="preserve"> la parte corrente e</w:t>
      </w:r>
      <w:r>
        <w:rPr>
          <w:rFonts w:ascii="Times New Roman" w:hAnsi="Times New Roman" w:cs="Times New Roman"/>
          <w:sz w:val="28"/>
          <w:szCs w:val="28"/>
        </w:rPr>
        <w:t>d</w:t>
      </w:r>
      <w:r w:rsidRPr="00653FD3">
        <w:rPr>
          <w:rFonts w:ascii="Times New Roman" w:hAnsi="Times New Roman" w:cs="Times New Roman"/>
          <w:sz w:val="28"/>
          <w:szCs w:val="28"/>
        </w:rPr>
        <w:t xml:space="preserve"> il conto capitale, per un importo corrispondente alla sommatoria degli impegni assunti</w:t>
      </w:r>
      <w:r>
        <w:rPr>
          <w:rStyle w:val="Rimandonotaapidipagina"/>
          <w:rFonts w:ascii="Times New Roman" w:hAnsi="Times New Roman" w:cs="Times New Roman"/>
          <w:sz w:val="28"/>
          <w:szCs w:val="28"/>
        </w:rPr>
        <w:footnoteReference w:id="15"/>
      </w:r>
      <w:r>
        <w:rPr>
          <w:rFonts w:ascii="Times New Roman" w:hAnsi="Times New Roman" w:cs="Times New Roman"/>
          <w:sz w:val="28"/>
          <w:szCs w:val="28"/>
        </w:rPr>
        <w:t xml:space="preserve"> negli esercizi precedenti, ma</w:t>
      </w:r>
      <w:r w:rsidRPr="00653FD3">
        <w:rPr>
          <w:rFonts w:ascii="Times New Roman" w:hAnsi="Times New Roman" w:cs="Times New Roman"/>
          <w:sz w:val="28"/>
          <w:szCs w:val="28"/>
        </w:rPr>
        <w:t xml:space="preserve"> imputati</w:t>
      </w:r>
      <w:r>
        <w:rPr>
          <w:rFonts w:ascii="Times New Roman" w:hAnsi="Times New Roman" w:cs="Times New Roman"/>
          <w:sz w:val="28"/>
          <w:szCs w:val="28"/>
        </w:rPr>
        <w:t xml:space="preserve"> sia all’</w:t>
      </w:r>
      <w:r w:rsidRPr="00653FD3">
        <w:rPr>
          <w:rFonts w:ascii="Times New Roman" w:hAnsi="Times New Roman" w:cs="Times New Roman"/>
          <w:sz w:val="28"/>
          <w:szCs w:val="28"/>
        </w:rPr>
        <w:t xml:space="preserve">esercizio considerato </w:t>
      </w:r>
      <w:r>
        <w:rPr>
          <w:rFonts w:ascii="Times New Roman" w:hAnsi="Times New Roman" w:cs="Times New Roman"/>
          <w:sz w:val="28"/>
          <w:szCs w:val="28"/>
        </w:rPr>
        <w:t xml:space="preserve">che a </w:t>
      </w:r>
      <w:r w:rsidRPr="00653FD3">
        <w:rPr>
          <w:rFonts w:ascii="Times New Roman" w:hAnsi="Times New Roman" w:cs="Times New Roman"/>
          <w:sz w:val="28"/>
          <w:szCs w:val="28"/>
        </w:rPr>
        <w:t>successivi, finanziati da risorse acce</w:t>
      </w:r>
      <w:r w:rsidR="006D6B7E">
        <w:rPr>
          <w:rFonts w:ascii="Times New Roman" w:hAnsi="Times New Roman" w:cs="Times New Roman"/>
          <w:sz w:val="28"/>
          <w:szCs w:val="28"/>
        </w:rPr>
        <w:t>rtate in</w:t>
      </w:r>
      <w:r w:rsidR="00301B88">
        <w:rPr>
          <w:rFonts w:ascii="Times New Roman" w:hAnsi="Times New Roman" w:cs="Times New Roman"/>
          <w:sz w:val="28"/>
          <w:szCs w:val="28"/>
        </w:rPr>
        <w:t xml:space="preserve"> esercizi precedenti</w:t>
      </w:r>
      <w:r w:rsidRPr="00653FD3">
        <w:rPr>
          <w:rFonts w:ascii="Times New Roman" w:hAnsi="Times New Roman" w:cs="Times New Roman"/>
          <w:sz w:val="28"/>
          <w:szCs w:val="28"/>
        </w:rPr>
        <w:t xml:space="preserve"> </w:t>
      </w:r>
      <w:r w:rsidR="00301B88">
        <w:rPr>
          <w:rFonts w:ascii="Times New Roman" w:hAnsi="Times New Roman" w:cs="Times New Roman"/>
          <w:sz w:val="28"/>
          <w:szCs w:val="28"/>
        </w:rPr>
        <w:t>(</w:t>
      </w:r>
      <w:r w:rsidRPr="00653FD3">
        <w:rPr>
          <w:rFonts w:ascii="Times New Roman" w:hAnsi="Times New Roman" w:cs="Times New Roman"/>
          <w:sz w:val="28"/>
          <w:szCs w:val="28"/>
        </w:rPr>
        <w:t xml:space="preserve">determinato secondo le modalità indicate nel </w:t>
      </w:r>
      <w:r w:rsidR="00301B88">
        <w:rPr>
          <w:rFonts w:ascii="Times New Roman" w:hAnsi="Times New Roman" w:cs="Times New Roman"/>
          <w:sz w:val="28"/>
          <w:szCs w:val="28"/>
        </w:rPr>
        <w:t>“</w:t>
      </w:r>
      <w:r w:rsidR="00301B88" w:rsidRPr="006D6B7E">
        <w:rPr>
          <w:rFonts w:ascii="Times New Roman" w:hAnsi="Times New Roman" w:cs="Times New Roman"/>
          <w:i/>
          <w:sz w:val="28"/>
          <w:szCs w:val="28"/>
        </w:rPr>
        <w:t>P</w:t>
      </w:r>
      <w:r w:rsidRPr="006D6B7E">
        <w:rPr>
          <w:rFonts w:ascii="Times New Roman" w:hAnsi="Times New Roman" w:cs="Times New Roman"/>
          <w:i/>
          <w:sz w:val="28"/>
          <w:szCs w:val="28"/>
        </w:rPr>
        <w:t>rincipio applicato della programmazione</w:t>
      </w:r>
      <w:r w:rsidR="00301B88">
        <w:rPr>
          <w:rFonts w:ascii="Times New Roman" w:hAnsi="Times New Roman" w:cs="Times New Roman"/>
          <w:sz w:val="28"/>
          <w:szCs w:val="28"/>
        </w:rPr>
        <w:t>”</w:t>
      </w:r>
      <w:r w:rsidRPr="00653FD3">
        <w:rPr>
          <w:rFonts w:ascii="Times New Roman" w:hAnsi="Times New Roman" w:cs="Times New Roman"/>
          <w:sz w:val="28"/>
          <w:szCs w:val="28"/>
        </w:rPr>
        <w:t xml:space="preserve">, </w:t>
      </w:r>
      <w:r w:rsidR="00301B88">
        <w:rPr>
          <w:rFonts w:ascii="Times New Roman" w:hAnsi="Times New Roman" w:cs="Times New Roman"/>
          <w:sz w:val="28"/>
          <w:szCs w:val="28"/>
        </w:rPr>
        <w:t>A</w:t>
      </w:r>
      <w:r w:rsidRPr="00653FD3">
        <w:rPr>
          <w:rFonts w:ascii="Times New Roman" w:hAnsi="Times New Roman" w:cs="Times New Roman"/>
          <w:sz w:val="28"/>
          <w:szCs w:val="28"/>
        </w:rPr>
        <w:t>llegato 4/1</w:t>
      </w:r>
      <w:r w:rsidR="00301B88">
        <w:rPr>
          <w:rFonts w:ascii="Times New Roman" w:hAnsi="Times New Roman" w:cs="Times New Roman"/>
          <w:sz w:val="28"/>
          <w:szCs w:val="28"/>
        </w:rPr>
        <w:t xml:space="preserve"> al d.lgs. n. 118/2011)</w:t>
      </w:r>
      <w:r w:rsidRPr="00653FD3">
        <w:rPr>
          <w:rFonts w:ascii="Times New Roman" w:hAnsi="Times New Roman" w:cs="Times New Roman"/>
          <w:sz w:val="28"/>
          <w:szCs w:val="28"/>
        </w:rPr>
        <w:t xml:space="preserve">; </w:t>
      </w:r>
    </w:p>
    <w:p w14:paraId="169604D5" w14:textId="2AE39BA5" w:rsidR="00301B88" w:rsidRDefault="00653FD3" w:rsidP="00653FD3">
      <w:pPr>
        <w:spacing w:after="120" w:line="240" w:lineRule="auto"/>
        <w:jc w:val="both"/>
        <w:rPr>
          <w:rFonts w:ascii="Times New Roman" w:hAnsi="Times New Roman" w:cs="Times New Roman"/>
          <w:sz w:val="28"/>
          <w:szCs w:val="28"/>
        </w:rPr>
      </w:pPr>
      <w:r w:rsidRPr="00653FD3">
        <w:rPr>
          <w:rFonts w:ascii="Times New Roman" w:hAnsi="Times New Roman" w:cs="Times New Roman"/>
          <w:sz w:val="28"/>
          <w:szCs w:val="28"/>
        </w:rPr>
        <w:t xml:space="preserve">b) </w:t>
      </w:r>
      <w:r w:rsidRPr="00301B88">
        <w:rPr>
          <w:rFonts w:ascii="Times New Roman" w:hAnsi="Times New Roman" w:cs="Times New Roman"/>
          <w:sz w:val="28"/>
          <w:szCs w:val="28"/>
          <w:u w:val="single"/>
        </w:rPr>
        <w:t>nella spesa</w:t>
      </w:r>
      <w:r w:rsidRPr="00653FD3">
        <w:rPr>
          <w:rFonts w:ascii="Times New Roman" w:hAnsi="Times New Roman" w:cs="Times New Roman"/>
          <w:sz w:val="28"/>
          <w:szCs w:val="28"/>
        </w:rPr>
        <w:t xml:space="preserve">, da una </w:t>
      </w:r>
      <w:r w:rsidR="00301B88">
        <w:rPr>
          <w:rFonts w:ascii="Times New Roman" w:hAnsi="Times New Roman" w:cs="Times New Roman"/>
          <w:sz w:val="28"/>
          <w:szCs w:val="28"/>
        </w:rPr>
        <w:t>voce denominata “</w:t>
      </w:r>
      <w:r w:rsidR="00301B88" w:rsidRPr="006D6B7E">
        <w:rPr>
          <w:rFonts w:ascii="Times New Roman" w:hAnsi="Times New Roman" w:cs="Times New Roman"/>
          <w:i/>
          <w:sz w:val="28"/>
          <w:szCs w:val="28"/>
        </w:rPr>
        <w:t>fondo pluriennale vincolato</w:t>
      </w:r>
      <w:r w:rsidR="00301B88">
        <w:rPr>
          <w:rFonts w:ascii="Times New Roman" w:hAnsi="Times New Roman" w:cs="Times New Roman"/>
          <w:sz w:val="28"/>
          <w:szCs w:val="28"/>
        </w:rPr>
        <w:t>”</w:t>
      </w:r>
      <w:r w:rsidR="00301B88">
        <w:rPr>
          <w:rStyle w:val="Rimandonotaapidipagina"/>
          <w:rFonts w:ascii="Times New Roman" w:hAnsi="Times New Roman" w:cs="Times New Roman"/>
          <w:sz w:val="28"/>
          <w:szCs w:val="28"/>
        </w:rPr>
        <w:footnoteReference w:id="16"/>
      </w:r>
      <w:r w:rsidRPr="00653FD3">
        <w:rPr>
          <w:rFonts w:ascii="Times New Roman" w:hAnsi="Times New Roman" w:cs="Times New Roman"/>
          <w:sz w:val="28"/>
          <w:szCs w:val="28"/>
        </w:rPr>
        <w:t xml:space="preserve">, per ciascuna unità di voto </w:t>
      </w:r>
      <w:r w:rsidR="006D6B7E">
        <w:rPr>
          <w:rFonts w:ascii="Times New Roman" w:hAnsi="Times New Roman" w:cs="Times New Roman"/>
          <w:sz w:val="28"/>
          <w:szCs w:val="28"/>
        </w:rPr>
        <w:t>(</w:t>
      </w:r>
      <w:r w:rsidRPr="00653FD3">
        <w:rPr>
          <w:rFonts w:ascii="Times New Roman" w:hAnsi="Times New Roman" w:cs="Times New Roman"/>
          <w:sz w:val="28"/>
          <w:szCs w:val="28"/>
        </w:rPr>
        <w:t>riguardante</w:t>
      </w:r>
      <w:r w:rsidR="00301B88">
        <w:rPr>
          <w:rFonts w:ascii="Times New Roman" w:hAnsi="Times New Roman" w:cs="Times New Roman"/>
          <w:sz w:val="28"/>
          <w:szCs w:val="28"/>
        </w:rPr>
        <w:t>, di solito,</w:t>
      </w:r>
      <w:r w:rsidRPr="00653FD3">
        <w:rPr>
          <w:rFonts w:ascii="Times New Roman" w:hAnsi="Times New Roman" w:cs="Times New Roman"/>
          <w:sz w:val="28"/>
          <w:szCs w:val="28"/>
        </w:rPr>
        <w:t xml:space="preserve"> spese a carattere pluriennale</w:t>
      </w:r>
      <w:r w:rsidR="00301B88">
        <w:rPr>
          <w:rFonts w:ascii="Times New Roman" w:hAnsi="Times New Roman" w:cs="Times New Roman"/>
          <w:sz w:val="28"/>
          <w:szCs w:val="28"/>
        </w:rPr>
        <w:t>)</w:t>
      </w:r>
      <w:r w:rsidRPr="00653FD3">
        <w:rPr>
          <w:rFonts w:ascii="Times New Roman" w:hAnsi="Times New Roman" w:cs="Times New Roman"/>
          <w:sz w:val="28"/>
          <w:szCs w:val="28"/>
        </w:rPr>
        <w:t xml:space="preserve"> e distintamente per ciascun titolo di spesa. </w:t>
      </w:r>
      <w:r w:rsidR="00301B88">
        <w:rPr>
          <w:rFonts w:ascii="Times New Roman" w:hAnsi="Times New Roman" w:cs="Times New Roman"/>
          <w:sz w:val="28"/>
          <w:szCs w:val="28"/>
        </w:rPr>
        <w:t xml:space="preserve">Tale </w:t>
      </w:r>
      <w:r w:rsidRPr="00653FD3">
        <w:rPr>
          <w:rFonts w:ascii="Times New Roman" w:hAnsi="Times New Roman" w:cs="Times New Roman"/>
          <w:sz w:val="28"/>
          <w:szCs w:val="28"/>
        </w:rPr>
        <w:t xml:space="preserve">fondo è determinato per un importo pari alle spese che si prevede di impegnare nel corso del primo anno </w:t>
      </w:r>
      <w:r w:rsidR="00301B88">
        <w:rPr>
          <w:rFonts w:ascii="Times New Roman" w:hAnsi="Times New Roman" w:cs="Times New Roman"/>
          <w:sz w:val="28"/>
          <w:szCs w:val="28"/>
        </w:rPr>
        <w:t>del</w:t>
      </w:r>
      <w:r w:rsidRPr="00653FD3">
        <w:rPr>
          <w:rFonts w:ascii="Times New Roman" w:hAnsi="Times New Roman" w:cs="Times New Roman"/>
          <w:sz w:val="28"/>
          <w:szCs w:val="28"/>
        </w:rPr>
        <w:t xml:space="preserve"> bilancio</w:t>
      </w:r>
      <w:r w:rsidR="00301B88">
        <w:rPr>
          <w:rFonts w:ascii="Times New Roman" w:hAnsi="Times New Roman" w:cs="Times New Roman"/>
          <w:sz w:val="28"/>
          <w:szCs w:val="28"/>
        </w:rPr>
        <w:t xml:space="preserve"> di previsione</w:t>
      </w:r>
      <w:r w:rsidRPr="00653FD3">
        <w:rPr>
          <w:rFonts w:ascii="Times New Roman" w:hAnsi="Times New Roman" w:cs="Times New Roman"/>
          <w:sz w:val="28"/>
          <w:szCs w:val="28"/>
        </w:rPr>
        <w:t>, con imputa</w:t>
      </w:r>
      <w:r w:rsidR="006D6B7E">
        <w:rPr>
          <w:rFonts w:ascii="Times New Roman" w:hAnsi="Times New Roman" w:cs="Times New Roman"/>
          <w:sz w:val="28"/>
          <w:szCs w:val="28"/>
        </w:rPr>
        <w:t>zione a</w:t>
      </w:r>
      <w:r w:rsidR="00301B88">
        <w:rPr>
          <w:rFonts w:ascii="Times New Roman" w:hAnsi="Times New Roman" w:cs="Times New Roman"/>
          <w:sz w:val="28"/>
          <w:szCs w:val="28"/>
        </w:rPr>
        <w:t xml:space="preserve"> esercizi successivi, sommato</w:t>
      </w:r>
      <w:r w:rsidR="006D6B7E">
        <w:rPr>
          <w:rFonts w:ascii="Times New Roman" w:hAnsi="Times New Roman" w:cs="Times New Roman"/>
          <w:sz w:val="28"/>
          <w:szCs w:val="28"/>
        </w:rPr>
        <w:t xml:space="preserve"> alle spese già impegnate in</w:t>
      </w:r>
      <w:r w:rsidRPr="00653FD3">
        <w:rPr>
          <w:rFonts w:ascii="Times New Roman" w:hAnsi="Times New Roman" w:cs="Times New Roman"/>
          <w:sz w:val="28"/>
          <w:szCs w:val="28"/>
        </w:rPr>
        <w:t xml:space="preserve"> esercizi prece</w:t>
      </w:r>
      <w:r w:rsidR="00301B88">
        <w:rPr>
          <w:rFonts w:ascii="Times New Roman" w:hAnsi="Times New Roman" w:cs="Times New Roman"/>
          <w:sz w:val="28"/>
          <w:szCs w:val="28"/>
        </w:rPr>
        <w:t>denti con imputazione a</w:t>
      </w:r>
      <w:r w:rsidR="006D6B7E">
        <w:rPr>
          <w:rFonts w:ascii="Times New Roman" w:hAnsi="Times New Roman" w:cs="Times New Roman"/>
          <w:sz w:val="28"/>
          <w:szCs w:val="28"/>
        </w:rPr>
        <w:t>d</w:t>
      </w:r>
      <w:r w:rsidRPr="00653FD3">
        <w:rPr>
          <w:rFonts w:ascii="Times New Roman" w:hAnsi="Times New Roman" w:cs="Times New Roman"/>
          <w:sz w:val="28"/>
          <w:szCs w:val="28"/>
        </w:rPr>
        <w:t xml:space="preserve"> esercizi successivi</w:t>
      </w:r>
      <w:r w:rsidR="00301B88">
        <w:rPr>
          <w:rFonts w:ascii="Times New Roman" w:hAnsi="Times New Roman" w:cs="Times New Roman"/>
          <w:sz w:val="28"/>
          <w:szCs w:val="28"/>
        </w:rPr>
        <w:t xml:space="preserve">. </w:t>
      </w:r>
    </w:p>
    <w:p w14:paraId="5A4DAD8A" w14:textId="6D52A382" w:rsidR="00653FD3" w:rsidRDefault="00301B88" w:rsidP="00653FD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La copertura della quota di</w:t>
      </w:r>
      <w:r w:rsidR="00653FD3" w:rsidRPr="00653FD3">
        <w:rPr>
          <w:rFonts w:ascii="Times New Roman" w:hAnsi="Times New Roman" w:cs="Times New Roman"/>
          <w:sz w:val="28"/>
          <w:szCs w:val="28"/>
        </w:rPr>
        <w:t xml:space="preserve"> </w:t>
      </w:r>
      <w:r>
        <w:rPr>
          <w:rFonts w:ascii="Times New Roman" w:hAnsi="Times New Roman" w:cs="Times New Roman"/>
          <w:sz w:val="28"/>
          <w:szCs w:val="28"/>
        </w:rPr>
        <w:t>“</w:t>
      </w:r>
      <w:r w:rsidR="00653FD3" w:rsidRPr="00301B88">
        <w:rPr>
          <w:rFonts w:ascii="Times New Roman" w:hAnsi="Times New Roman" w:cs="Times New Roman"/>
          <w:i/>
          <w:sz w:val="28"/>
          <w:szCs w:val="28"/>
        </w:rPr>
        <w:t xml:space="preserve">fondo pluriennale vincolato </w:t>
      </w:r>
      <w:r w:rsidRPr="00301B88">
        <w:rPr>
          <w:rFonts w:ascii="Times New Roman" w:hAnsi="Times New Roman" w:cs="Times New Roman"/>
          <w:i/>
          <w:sz w:val="28"/>
          <w:szCs w:val="28"/>
        </w:rPr>
        <w:t>di spesa</w:t>
      </w:r>
      <w:r>
        <w:rPr>
          <w:rFonts w:ascii="Times New Roman" w:hAnsi="Times New Roman" w:cs="Times New Roman"/>
          <w:sz w:val="28"/>
          <w:szCs w:val="28"/>
        </w:rPr>
        <w:t>”</w:t>
      </w:r>
      <w:r w:rsidR="006D6B7E">
        <w:rPr>
          <w:rFonts w:ascii="Times New Roman" w:hAnsi="Times New Roman" w:cs="Times New Roman"/>
          <w:sz w:val="28"/>
          <w:szCs w:val="28"/>
        </w:rPr>
        <w:t>,</w:t>
      </w:r>
      <w:r>
        <w:rPr>
          <w:rFonts w:ascii="Times New Roman" w:hAnsi="Times New Roman" w:cs="Times New Roman"/>
          <w:sz w:val="28"/>
          <w:szCs w:val="28"/>
        </w:rPr>
        <w:t xml:space="preserve"> </w:t>
      </w:r>
      <w:r w:rsidR="00653FD3" w:rsidRPr="00653FD3">
        <w:rPr>
          <w:rFonts w:ascii="Times New Roman" w:hAnsi="Times New Roman" w:cs="Times New Roman"/>
          <w:sz w:val="28"/>
          <w:szCs w:val="28"/>
        </w:rPr>
        <w:t>riguardante le spese impegna</w:t>
      </w:r>
      <w:r>
        <w:rPr>
          <w:rFonts w:ascii="Times New Roman" w:hAnsi="Times New Roman" w:cs="Times New Roman"/>
          <w:sz w:val="28"/>
          <w:szCs w:val="28"/>
        </w:rPr>
        <w:t>te in</w:t>
      </w:r>
      <w:r w:rsidR="00653FD3" w:rsidRPr="00653FD3">
        <w:rPr>
          <w:rFonts w:ascii="Times New Roman" w:hAnsi="Times New Roman" w:cs="Times New Roman"/>
          <w:sz w:val="28"/>
          <w:szCs w:val="28"/>
        </w:rPr>
        <w:t xml:space="preserve"> esercizi precedenti</w:t>
      </w:r>
      <w:r w:rsidR="006D6B7E">
        <w:rPr>
          <w:rFonts w:ascii="Times New Roman" w:hAnsi="Times New Roman" w:cs="Times New Roman"/>
          <w:sz w:val="28"/>
          <w:szCs w:val="28"/>
        </w:rPr>
        <w:t>,</w:t>
      </w:r>
      <w:r w:rsidR="00653FD3" w:rsidRPr="00653FD3">
        <w:rPr>
          <w:rFonts w:ascii="Times New Roman" w:hAnsi="Times New Roman" w:cs="Times New Roman"/>
          <w:sz w:val="28"/>
          <w:szCs w:val="28"/>
        </w:rPr>
        <w:t xml:space="preserve"> è costituita dal fondo pluriennale </w:t>
      </w:r>
      <w:r w:rsidR="006D6B7E">
        <w:rPr>
          <w:rFonts w:ascii="Times New Roman" w:hAnsi="Times New Roman" w:cs="Times New Roman"/>
          <w:sz w:val="28"/>
          <w:szCs w:val="28"/>
        </w:rPr>
        <w:t xml:space="preserve">vincolato </w:t>
      </w:r>
      <w:r w:rsidR="00653FD3" w:rsidRPr="00653FD3">
        <w:rPr>
          <w:rFonts w:ascii="Times New Roman" w:hAnsi="Times New Roman" w:cs="Times New Roman"/>
          <w:sz w:val="28"/>
          <w:szCs w:val="28"/>
        </w:rPr>
        <w:t xml:space="preserve">iscritto in entrata, mentre la copertura della quota del </w:t>
      </w:r>
      <w:r>
        <w:rPr>
          <w:rFonts w:ascii="Times New Roman" w:hAnsi="Times New Roman" w:cs="Times New Roman"/>
          <w:sz w:val="28"/>
          <w:szCs w:val="28"/>
        </w:rPr>
        <w:t>“</w:t>
      </w:r>
      <w:r w:rsidR="00653FD3" w:rsidRPr="00301B88">
        <w:rPr>
          <w:rFonts w:ascii="Times New Roman" w:hAnsi="Times New Roman" w:cs="Times New Roman"/>
          <w:i/>
          <w:sz w:val="28"/>
          <w:szCs w:val="28"/>
        </w:rPr>
        <w:t xml:space="preserve">fondo pluriennale vincolato </w:t>
      </w:r>
      <w:r w:rsidRPr="00301B88">
        <w:rPr>
          <w:rFonts w:ascii="Times New Roman" w:hAnsi="Times New Roman" w:cs="Times New Roman"/>
          <w:i/>
          <w:sz w:val="28"/>
          <w:szCs w:val="28"/>
        </w:rPr>
        <w:t>di spesa</w:t>
      </w:r>
      <w:r>
        <w:rPr>
          <w:rFonts w:ascii="Times New Roman" w:hAnsi="Times New Roman" w:cs="Times New Roman"/>
          <w:sz w:val="28"/>
          <w:szCs w:val="28"/>
        </w:rPr>
        <w:t>”</w:t>
      </w:r>
      <w:r w:rsidR="006D6B7E">
        <w:rPr>
          <w:rFonts w:ascii="Times New Roman" w:hAnsi="Times New Roman" w:cs="Times New Roman"/>
          <w:sz w:val="28"/>
          <w:szCs w:val="28"/>
        </w:rPr>
        <w:t>,</w:t>
      </w:r>
      <w:r>
        <w:rPr>
          <w:rFonts w:ascii="Times New Roman" w:hAnsi="Times New Roman" w:cs="Times New Roman"/>
          <w:sz w:val="28"/>
          <w:szCs w:val="28"/>
        </w:rPr>
        <w:t xml:space="preserve"> </w:t>
      </w:r>
      <w:r w:rsidR="00653FD3" w:rsidRPr="00653FD3">
        <w:rPr>
          <w:rFonts w:ascii="Times New Roman" w:hAnsi="Times New Roman" w:cs="Times New Roman"/>
          <w:sz w:val="28"/>
          <w:szCs w:val="28"/>
        </w:rPr>
        <w:t xml:space="preserve">riguardante le spese che si prevede di impegnare nell'esercizio di riferimento con </w:t>
      </w:r>
      <w:r>
        <w:rPr>
          <w:rFonts w:ascii="Times New Roman" w:hAnsi="Times New Roman" w:cs="Times New Roman"/>
          <w:sz w:val="28"/>
          <w:szCs w:val="28"/>
        </w:rPr>
        <w:t>imputazione a</w:t>
      </w:r>
      <w:r w:rsidR="00653FD3" w:rsidRPr="00653FD3">
        <w:rPr>
          <w:rFonts w:ascii="Times New Roman" w:hAnsi="Times New Roman" w:cs="Times New Roman"/>
          <w:sz w:val="28"/>
          <w:szCs w:val="28"/>
        </w:rPr>
        <w:t xml:space="preserve"> esercizi successivi, è costituita dalle entrate che si prevede di accertare </w:t>
      </w:r>
      <w:r>
        <w:rPr>
          <w:rFonts w:ascii="Times New Roman" w:hAnsi="Times New Roman" w:cs="Times New Roman"/>
          <w:sz w:val="28"/>
          <w:szCs w:val="28"/>
        </w:rPr>
        <w:t xml:space="preserve">(e imputare) </w:t>
      </w:r>
      <w:r w:rsidR="00653FD3" w:rsidRPr="00653FD3">
        <w:rPr>
          <w:rFonts w:ascii="Times New Roman" w:hAnsi="Times New Roman" w:cs="Times New Roman"/>
          <w:sz w:val="28"/>
          <w:szCs w:val="28"/>
        </w:rPr>
        <w:t>nel corso dell'esercizio di riferimento</w:t>
      </w:r>
      <w:r>
        <w:rPr>
          <w:rStyle w:val="Rimandonotaapidipagina"/>
          <w:rFonts w:ascii="Times New Roman" w:hAnsi="Times New Roman" w:cs="Times New Roman"/>
          <w:sz w:val="28"/>
          <w:szCs w:val="28"/>
        </w:rPr>
        <w:footnoteReference w:id="17"/>
      </w:r>
      <w:r w:rsidR="00653FD3" w:rsidRPr="00653FD3">
        <w:rPr>
          <w:rFonts w:ascii="Times New Roman" w:hAnsi="Times New Roman" w:cs="Times New Roman"/>
          <w:sz w:val="28"/>
          <w:szCs w:val="28"/>
        </w:rPr>
        <w:t xml:space="preserve">. </w:t>
      </w:r>
    </w:p>
    <w:p w14:paraId="208321E1" w14:textId="77777777" w:rsidR="006723B6" w:rsidRDefault="005B6AAC" w:rsidP="00653FD3">
      <w:pPr>
        <w:spacing w:after="120" w:line="240" w:lineRule="auto"/>
        <w:jc w:val="both"/>
        <w:rPr>
          <w:rFonts w:ascii="Times New Roman" w:hAnsi="Times New Roman" w:cs="Times New Roman"/>
          <w:sz w:val="28"/>
          <w:szCs w:val="28"/>
        </w:rPr>
      </w:pPr>
      <w:r w:rsidRPr="006723B6">
        <w:rPr>
          <w:rFonts w:ascii="Times New Roman" w:hAnsi="Times New Roman" w:cs="Times New Roman"/>
          <w:sz w:val="28"/>
          <w:szCs w:val="28"/>
          <w:u w:val="single"/>
        </w:rPr>
        <w:t>L’introduzione</w:t>
      </w:r>
      <w:r w:rsidR="006723B6" w:rsidRPr="006723B6">
        <w:rPr>
          <w:rFonts w:ascii="Times New Roman" w:hAnsi="Times New Roman" w:cs="Times New Roman"/>
          <w:sz w:val="28"/>
          <w:szCs w:val="28"/>
          <w:u w:val="single"/>
        </w:rPr>
        <w:t xml:space="preserve"> dell’istituto</w:t>
      </w:r>
      <w:r w:rsidRPr="006723B6">
        <w:rPr>
          <w:rFonts w:ascii="Times New Roman" w:hAnsi="Times New Roman" w:cs="Times New Roman"/>
          <w:sz w:val="28"/>
          <w:szCs w:val="28"/>
          <w:u w:val="single"/>
        </w:rPr>
        <w:t xml:space="preserve"> del fondo pluriennale vincolato </w:t>
      </w:r>
      <w:r w:rsidR="006723B6" w:rsidRPr="006723B6">
        <w:rPr>
          <w:rFonts w:ascii="Times New Roman" w:hAnsi="Times New Roman" w:cs="Times New Roman"/>
          <w:sz w:val="28"/>
          <w:szCs w:val="28"/>
          <w:u w:val="single"/>
        </w:rPr>
        <w:t xml:space="preserve">è diretta conseguenza </w:t>
      </w:r>
      <w:r w:rsidRPr="006723B6">
        <w:rPr>
          <w:rFonts w:ascii="Times New Roman" w:hAnsi="Times New Roman" w:cs="Times New Roman"/>
          <w:sz w:val="28"/>
          <w:szCs w:val="28"/>
          <w:u w:val="single"/>
        </w:rPr>
        <w:t xml:space="preserve">dalla </w:t>
      </w:r>
      <w:r w:rsidR="006723B6" w:rsidRPr="006723B6">
        <w:rPr>
          <w:rFonts w:ascii="Times New Roman" w:hAnsi="Times New Roman" w:cs="Times New Roman"/>
          <w:sz w:val="28"/>
          <w:szCs w:val="28"/>
          <w:u w:val="single"/>
        </w:rPr>
        <w:t>rinnovata</w:t>
      </w:r>
      <w:r w:rsidRPr="006723B6">
        <w:rPr>
          <w:rFonts w:ascii="Times New Roman" w:hAnsi="Times New Roman" w:cs="Times New Roman"/>
          <w:sz w:val="28"/>
          <w:szCs w:val="28"/>
          <w:u w:val="single"/>
        </w:rPr>
        <w:t xml:space="preserve"> conformazione del principio della competenza finanziaria</w:t>
      </w:r>
      <w:r>
        <w:rPr>
          <w:rFonts w:ascii="Times New Roman" w:hAnsi="Times New Roman" w:cs="Times New Roman"/>
          <w:sz w:val="28"/>
          <w:szCs w:val="28"/>
        </w:rPr>
        <w:t xml:space="preserve">, che, in base a quanto prescritto dal principio generale n. 16 (Allegato 1 al d.lgs. n. 118/2011), ha imposto la </w:t>
      </w:r>
      <w:r w:rsidRPr="006723B6">
        <w:rPr>
          <w:rFonts w:ascii="Times New Roman" w:hAnsi="Times New Roman" w:cs="Times New Roman"/>
          <w:sz w:val="28"/>
          <w:szCs w:val="28"/>
          <w:u w:val="single"/>
        </w:rPr>
        <w:t>dissociazione, logica e contabile, fra il momento della “iscrizione”</w:t>
      </w:r>
      <w:r>
        <w:rPr>
          <w:rFonts w:ascii="Times New Roman" w:hAnsi="Times New Roman" w:cs="Times New Roman"/>
          <w:sz w:val="28"/>
          <w:szCs w:val="28"/>
        </w:rPr>
        <w:t xml:space="preserve"> (di accertamenti e impegni) nelle scritture contabili </w:t>
      </w:r>
      <w:r w:rsidRPr="006723B6">
        <w:rPr>
          <w:rFonts w:ascii="Times New Roman" w:hAnsi="Times New Roman" w:cs="Times New Roman"/>
          <w:sz w:val="28"/>
          <w:szCs w:val="28"/>
          <w:u w:val="single"/>
        </w:rPr>
        <w:t xml:space="preserve">rispetto a quello della </w:t>
      </w:r>
      <w:r w:rsidR="006723B6" w:rsidRPr="006723B6">
        <w:rPr>
          <w:rFonts w:ascii="Times New Roman" w:hAnsi="Times New Roman" w:cs="Times New Roman"/>
          <w:sz w:val="28"/>
          <w:szCs w:val="28"/>
          <w:u w:val="single"/>
        </w:rPr>
        <w:t>“imputazione” al</w:t>
      </w:r>
      <w:r w:rsidRPr="006723B6">
        <w:rPr>
          <w:rFonts w:ascii="Times New Roman" w:hAnsi="Times New Roman" w:cs="Times New Roman"/>
          <w:sz w:val="28"/>
          <w:szCs w:val="28"/>
          <w:u w:val="single"/>
        </w:rPr>
        <w:t xml:space="preserve"> bilancio</w:t>
      </w:r>
      <w:r w:rsidR="006723B6">
        <w:rPr>
          <w:rFonts w:ascii="Times New Roman" w:hAnsi="Times New Roman" w:cs="Times New Roman"/>
          <w:sz w:val="28"/>
          <w:szCs w:val="28"/>
        </w:rPr>
        <w:t>. La ridetta</w:t>
      </w:r>
      <w:r w:rsidR="00384F25">
        <w:rPr>
          <w:rFonts w:ascii="Times New Roman" w:hAnsi="Times New Roman" w:cs="Times New Roman"/>
          <w:sz w:val="28"/>
          <w:szCs w:val="28"/>
        </w:rPr>
        <w:t xml:space="preserve"> </w:t>
      </w:r>
      <w:r w:rsidR="006723B6">
        <w:rPr>
          <w:rFonts w:ascii="Times New Roman" w:hAnsi="Times New Roman" w:cs="Times New Roman"/>
          <w:sz w:val="28"/>
          <w:szCs w:val="28"/>
        </w:rPr>
        <w:t>(eventuale)</w:t>
      </w:r>
      <w:r w:rsidR="00384F25">
        <w:rPr>
          <w:rFonts w:ascii="Times New Roman" w:hAnsi="Times New Roman" w:cs="Times New Roman"/>
          <w:sz w:val="28"/>
          <w:szCs w:val="28"/>
        </w:rPr>
        <w:t xml:space="preserve"> dissociazione temporale comporta, quale effetto, che l’accertamento di un’entrata possa avere una manifestazione (</w:t>
      </w:r>
      <w:r w:rsidR="00384F25" w:rsidRPr="00384F25">
        <w:rPr>
          <w:rFonts w:ascii="Times New Roman" w:hAnsi="Times New Roman" w:cs="Times New Roman"/>
          <w:i/>
          <w:sz w:val="28"/>
          <w:szCs w:val="28"/>
        </w:rPr>
        <w:t>rectius</w:t>
      </w:r>
      <w:r w:rsidR="00384F25">
        <w:rPr>
          <w:rFonts w:ascii="Times New Roman" w:hAnsi="Times New Roman" w:cs="Times New Roman"/>
          <w:sz w:val="28"/>
          <w:szCs w:val="28"/>
        </w:rPr>
        <w:t>, imputazione) anteriore rispetto a quella del correlato impegno di spesa (mentre, salvo quanto avvenuto in sede di riaccertamento straordinario dei residui, conseguente all’avvio del nuovo sistema contabile, non dovrebbe potersi verificare l’ipotesi inversa, stante la necessità di garantire la copertura finanziaria sin dal momento della nascita di qualunque obbligazione giuridica passiva per l’ente territoriale)</w:t>
      </w:r>
      <w:r w:rsidR="00384F25">
        <w:rPr>
          <w:rStyle w:val="Rimandonotaapidipagina"/>
          <w:rFonts w:ascii="Times New Roman" w:hAnsi="Times New Roman" w:cs="Times New Roman"/>
          <w:sz w:val="28"/>
          <w:szCs w:val="28"/>
        </w:rPr>
        <w:footnoteReference w:id="18"/>
      </w:r>
      <w:r w:rsidR="00384F25">
        <w:rPr>
          <w:rFonts w:ascii="Times New Roman" w:hAnsi="Times New Roman" w:cs="Times New Roman"/>
          <w:sz w:val="28"/>
          <w:szCs w:val="28"/>
        </w:rPr>
        <w:t xml:space="preserve">. </w:t>
      </w:r>
    </w:p>
    <w:p w14:paraId="5EB4E85A" w14:textId="21E532FE" w:rsidR="00301B88" w:rsidRDefault="00384F25" w:rsidP="00653FD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Il fondo pluriennale vincolato costituisce, appunto, lo strumento grazie al quale è possibile garantire, in esercizi successivi, la copertura finanziaria di impegni di spesa che hanno un’i</w:t>
      </w:r>
      <w:r w:rsidR="006723B6">
        <w:rPr>
          <w:rFonts w:ascii="Times New Roman" w:hAnsi="Times New Roman" w:cs="Times New Roman"/>
          <w:sz w:val="28"/>
          <w:szCs w:val="28"/>
        </w:rPr>
        <w:t>mputazione ritardata rispetto all’imputazione dei</w:t>
      </w:r>
      <w:r>
        <w:rPr>
          <w:rFonts w:ascii="Times New Roman" w:hAnsi="Times New Roman" w:cs="Times New Roman"/>
          <w:sz w:val="28"/>
          <w:szCs w:val="28"/>
        </w:rPr>
        <w:t xml:space="preserve"> corrispon</w:t>
      </w:r>
      <w:r w:rsidR="006723B6">
        <w:rPr>
          <w:rFonts w:ascii="Times New Roman" w:hAnsi="Times New Roman" w:cs="Times New Roman"/>
          <w:sz w:val="28"/>
          <w:szCs w:val="28"/>
        </w:rPr>
        <w:t>denti accertamenti</w:t>
      </w:r>
      <w:r>
        <w:rPr>
          <w:rFonts w:ascii="Times New Roman" w:hAnsi="Times New Roman" w:cs="Times New Roman"/>
          <w:sz w:val="28"/>
          <w:szCs w:val="28"/>
        </w:rPr>
        <w:t>.</w:t>
      </w:r>
      <w:r w:rsidR="005B6AAC">
        <w:rPr>
          <w:rFonts w:ascii="Times New Roman" w:hAnsi="Times New Roman" w:cs="Times New Roman"/>
          <w:sz w:val="28"/>
          <w:szCs w:val="28"/>
        </w:rPr>
        <w:t xml:space="preserve"> </w:t>
      </w:r>
    </w:p>
    <w:p w14:paraId="0F6DC8DE" w14:textId="46471217" w:rsidR="005B6AAC" w:rsidRPr="005B6AAC" w:rsidRDefault="00384F25" w:rsidP="005B6AA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Di conseguenza </w:t>
      </w:r>
      <w:r w:rsidRPr="006723B6">
        <w:rPr>
          <w:rFonts w:ascii="Times New Roman" w:hAnsi="Times New Roman" w:cs="Times New Roman"/>
          <w:sz w:val="28"/>
          <w:szCs w:val="28"/>
          <w:u w:val="single"/>
        </w:rPr>
        <w:t>anche la struttura del bilancio di previsione degli enti territoriali è stata rivisitata</w:t>
      </w:r>
      <w:r>
        <w:rPr>
          <w:rFonts w:ascii="Times New Roman" w:hAnsi="Times New Roman" w:cs="Times New Roman"/>
          <w:sz w:val="28"/>
          <w:szCs w:val="28"/>
        </w:rPr>
        <w:t xml:space="preserve">. </w:t>
      </w:r>
      <w:r w:rsidR="00BA1C73">
        <w:rPr>
          <w:rFonts w:ascii="Times New Roman" w:hAnsi="Times New Roman" w:cs="Times New Roman"/>
          <w:sz w:val="28"/>
          <w:szCs w:val="28"/>
        </w:rPr>
        <w:t>A tal fine, il “</w:t>
      </w:r>
      <w:r w:rsidR="005B6AAC">
        <w:rPr>
          <w:rFonts w:ascii="Times New Roman" w:hAnsi="Times New Roman" w:cs="Times New Roman"/>
          <w:sz w:val="28"/>
          <w:szCs w:val="28"/>
        </w:rPr>
        <w:t>Principio contabile della programmazione</w:t>
      </w:r>
      <w:r w:rsidR="00BA1C73">
        <w:rPr>
          <w:rFonts w:ascii="Times New Roman" w:hAnsi="Times New Roman" w:cs="Times New Roman"/>
          <w:sz w:val="28"/>
          <w:szCs w:val="28"/>
        </w:rPr>
        <w:t>”</w:t>
      </w:r>
      <w:r w:rsidR="005B6AAC">
        <w:rPr>
          <w:rFonts w:ascii="Times New Roman" w:hAnsi="Times New Roman" w:cs="Times New Roman"/>
          <w:sz w:val="28"/>
          <w:szCs w:val="28"/>
        </w:rPr>
        <w:t xml:space="preserve">, </w:t>
      </w:r>
      <w:r w:rsidR="00BA1C73">
        <w:rPr>
          <w:rFonts w:ascii="Times New Roman" w:hAnsi="Times New Roman" w:cs="Times New Roman"/>
          <w:sz w:val="28"/>
          <w:szCs w:val="28"/>
        </w:rPr>
        <w:t xml:space="preserve">Allegato 4/1 al d.lgs. n. 118/2011, al </w:t>
      </w:r>
      <w:r w:rsidR="005B6AAC">
        <w:rPr>
          <w:rFonts w:ascii="Times New Roman" w:hAnsi="Times New Roman" w:cs="Times New Roman"/>
          <w:sz w:val="28"/>
          <w:szCs w:val="28"/>
        </w:rPr>
        <w:t>paragrafo 9.4</w:t>
      </w:r>
      <w:r w:rsidR="00BA1C73">
        <w:rPr>
          <w:rFonts w:ascii="Times New Roman" w:hAnsi="Times New Roman" w:cs="Times New Roman"/>
          <w:sz w:val="28"/>
          <w:szCs w:val="28"/>
        </w:rPr>
        <w:t>, prevede che c</w:t>
      </w:r>
      <w:r w:rsidR="005B6AAC" w:rsidRPr="005B6AAC">
        <w:rPr>
          <w:rFonts w:ascii="Times New Roman" w:hAnsi="Times New Roman" w:cs="Times New Roman"/>
          <w:sz w:val="28"/>
          <w:szCs w:val="28"/>
        </w:rPr>
        <w:t xml:space="preserve">iascun programma di spesa, distintamente per i titoli in cui è articolato, </w:t>
      </w:r>
      <w:r w:rsidR="00BA1C73">
        <w:rPr>
          <w:rFonts w:ascii="Times New Roman" w:hAnsi="Times New Roman" w:cs="Times New Roman"/>
          <w:sz w:val="28"/>
          <w:szCs w:val="28"/>
        </w:rPr>
        <w:t xml:space="preserve">deve </w:t>
      </w:r>
      <w:r w:rsidR="005B6AAC" w:rsidRPr="005B6AAC">
        <w:rPr>
          <w:rFonts w:ascii="Times New Roman" w:hAnsi="Times New Roman" w:cs="Times New Roman"/>
          <w:sz w:val="28"/>
          <w:szCs w:val="28"/>
        </w:rPr>
        <w:t>indica</w:t>
      </w:r>
      <w:r w:rsidR="00BA1C73">
        <w:rPr>
          <w:rFonts w:ascii="Times New Roman" w:hAnsi="Times New Roman" w:cs="Times New Roman"/>
          <w:sz w:val="28"/>
          <w:szCs w:val="28"/>
        </w:rPr>
        <w:t>re</w:t>
      </w:r>
      <w:r w:rsidR="005B6AAC" w:rsidRPr="005B6AAC">
        <w:rPr>
          <w:rFonts w:ascii="Times New Roman" w:hAnsi="Times New Roman" w:cs="Times New Roman"/>
          <w:sz w:val="28"/>
          <w:szCs w:val="28"/>
        </w:rPr>
        <w:t xml:space="preserve">: </w:t>
      </w:r>
    </w:p>
    <w:p w14:paraId="01BFB196" w14:textId="02E4EC7A" w:rsidR="005B6AAC" w:rsidRPr="005B6AAC" w:rsidRDefault="005B6AAC" w:rsidP="005B6AAC">
      <w:pPr>
        <w:spacing w:after="120" w:line="240" w:lineRule="auto"/>
        <w:jc w:val="both"/>
        <w:rPr>
          <w:rFonts w:ascii="Times New Roman" w:hAnsi="Times New Roman" w:cs="Times New Roman"/>
          <w:sz w:val="28"/>
          <w:szCs w:val="28"/>
        </w:rPr>
      </w:pPr>
      <w:r w:rsidRPr="005B6AAC">
        <w:rPr>
          <w:rFonts w:ascii="Times New Roman" w:hAnsi="Times New Roman" w:cs="Times New Roman"/>
          <w:sz w:val="28"/>
          <w:szCs w:val="28"/>
        </w:rPr>
        <w:t>- la quota dello stanziamento che corr</w:t>
      </w:r>
      <w:r w:rsidR="00BA1C73">
        <w:rPr>
          <w:rFonts w:ascii="Times New Roman" w:hAnsi="Times New Roman" w:cs="Times New Roman"/>
          <w:sz w:val="28"/>
          <w:szCs w:val="28"/>
        </w:rPr>
        <w:t>isponde ad impegni assunti in</w:t>
      </w:r>
      <w:r w:rsidRPr="005B6AAC">
        <w:rPr>
          <w:rFonts w:ascii="Times New Roman" w:hAnsi="Times New Roman" w:cs="Times New Roman"/>
          <w:sz w:val="28"/>
          <w:szCs w:val="28"/>
        </w:rPr>
        <w:t xml:space="preserve"> esercizi precedenti alla data di</w:t>
      </w:r>
      <w:r w:rsidR="00BA1C73">
        <w:rPr>
          <w:rFonts w:ascii="Times New Roman" w:hAnsi="Times New Roman" w:cs="Times New Roman"/>
          <w:sz w:val="28"/>
          <w:szCs w:val="28"/>
        </w:rPr>
        <w:t xml:space="preserve"> elaborazione del bilancio (indicata come</w:t>
      </w:r>
      <w:r w:rsidRPr="005B6AAC">
        <w:rPr>
          <w:rFonts w:ascii="Times New Roman" w:hAnsi="Times New Roman" w:cs="Times New Roman"/>
          <w:sz w:val="28"/>
          <w:szCs w:val="28"/>
        </w:rPr>
        <w:t xml:space="preserve"> voce </w:t>
      </w:r>
      <w:r w:rsidR="00BA1C73">
        <w:rPr>
          <w:rFonts w:ascii="Times New Roman" w:hAnsi="Times New Roman" w:cs="Times New Roman"/>
          <w:sz w:val="28"/>
          <w:szCs w:val="28"/>
        </w:rPr>
        <w:t>“</w:t>
      </w:r>
      <w:r w:rsidRPr="00BA1C73">
        <w:rPr>
          <w:rFonts w:ascii="Times New Roman" w:hAnsi="Times New Roman" w:cs="Times New Roman"/>
          <w:i/>
          <w:sz w:val="28"/>
          <w:szCs w:val="28"/>
        </w:rPr>
        <w:t>di cui già impegnato</w:t>
      </w:r>
      <w:r w:rsidR="00BA1C73">
        <w:rPr>
          <w:rFonts w:ascii="Times New Roman" w:hAnsi="Times New Roman" w:cs="Times New Roman"/>
          <w:sz w:val="28"/>
          <w:szCs w:val="28"/>
        </w:rPr>
        <w:t>”</w:t>
      </w:r>
      <w:r w:rsidRPr="005B6AAC">
        <w:rPr>
          <w:rFonts w:ascii="Times New Roman" w:hAnsi="Times New Roman" w:cs="Times New Roman"/>
          <w:sz w:val="28"/>
          <w:szCs w:val="28"/>
        </w:rPr>
        <w:t>)</w:t>
      </w:r>
      <w:r w:rsidR="00BA1C73">
        <w:rPr>
          <w:rStyle w:val="Rimandonotaapidipagina"/>
          <w:rFonts w:ascii="Times New Roman" w:hAnsi="Times New Roman" w:cs="Times New Roman"/>
          <w:sz w:val="28"/>
          <w:szCs w:val="28"/>
        </w:rPr>
        <w:footnoteReference w:id="19"/>
      </w:r>
      <w:r w:rsidRPr="005B6AAC">
        <w:rPr>
          <w:rFonts w:ascii="Times New Roman" w:hAnsi="Times New Roman" w:cs="Times New Roman"/>
          <w:sz w:val="28"/>
          <w:szCs w:val="28"/>
        </w:rPr>
        <w:t xml:space="preserve">; </w:t>
      </w:r>
    </w:p>
    <w:p w14:paraId="320C7F2A" w14:textId="5A2F50D7" w:rsidR="005B6AAC" w:rsidRPr="005B6AAC" w:rsidRDefault="005B6AAC" w:rsidP="005B6AAC">
      <w:pPr>
        <w:spacing w:after="120" w:line="240" w:lineRule="auto"/>
        <w:jc w:val="both"/>
        <w:rPr>
          <w:rFonts w:ascii="Times New Roman" w:hAnsi="Times New Roman" w:cs="Times New Roman"/>
          <w:sz w:val="28"/>
          <w:szCs w:val="28"/>
        </w:rPr>
      </w:pPr>
      <w:r w:rsidRPr="005B6AAC">
        <w:rPr>
          <w:rFonts w:ascii="Times New Roman" w:hAnsi="Times New Roman" w:cs="Times New Roman"/>
          <w:sz w:val="28"/>
          <w:szCs w:val="28"/>
        </w:rPr>
        <w:t xml:space="preserve">- </w:t>
      </w:r>
      <w:r w:rsidRPr="00BA1C73">
        <w:rPr>
          <w:rFonts w:ascii="Times New Roman" w:hAnsi="Times New Roman" w:cs="Times New Roman"/>
          <w:sz w:val="28"/>
          <w:szCs w:val="28"/>
          <w:u w:val="single"/>
        </w:rPr>
        <w:t>la quota di stanziamento relativa al fondo pluriennale vincolato</w:t>
      </w:r>
      <w:r w:rsidRPr="005B6AAC">
        <w:rPr>
          <w:rFonts w:ascii="Times New Roman" w:hAnsi="Times New Roman" w:cs="Times New Roman"/>
          <w:sz w:val="28"/>
          <w:szCs w:val="28"/>
        </w:rPr>
        <w:t>, che corrisponde alla somma delle spese che si prevede di impegnare nel</w:t>
      </w:r>
      <w:r w:rsidR="004962D1">
        <w:rPr>
          <w:rFonts w:ascii="Times New Roman" w:hAnsi="Times New Roman" w:cs="Times New Roman"/>
          <w:sz w:val="28"/>
          <w:szCs w:val="28"/>
        </w:rPr>
        <w:t>l’</w:t>
      </w:r>
      <w:r w:rsidR="00BA1C73">
        <w:rPr>
          <w:rFonts w:ascii="Times New Roman" w:hAnsi="Times New Roman" w:cs="Times New Roman"/>
          <w:sz w:val="28"/>
          <w:szCs w:val="28"/>
        </w:rPr>
        <w:t>esercizio con imputazione a</w:t>
      </w:r>
      <w:r w:rsidRPr="005B6AAC">
        <w:rPr>
          <w:rFonts w:ascii="Times New Roman" w:hAnsi="Times New Roman" w:cs="Times New Roman"/>
          <w:sz w:val="28"/>
          <w:szCs w:val="28"/>
        </w:rPr>
        <w:t xml:space="preserve"> esercizi successivi </w:t>
      </w:r>
      <w:r w:rsidR="004962D1">
        <w:rPr>
          <w:rFonts w:ascii="Times New Roman" w:hAnsi="Times New Roman" w:cs="Times New Roman"/>
          <w:sz w:val="28"/>
          <w:szCs w:val="28"/>
        </w:rPr>
        <w:t>e/</w:t>
      </w:r>
      <w:r w:rsidRPr="005B6AAC">
        <w:rPr>
          <w:rFonts w:ascii="Times New Roman" w:hAnsi="Times New Roman" w:cs="Times New Roman"/>
          <w:sz w:val="28"/>
          <w:szCs w:val="28"/>
        </w:rPr>
        <w:t>o delle spese ch</w:t>
      </w:r>
      <w:r w:rsidR="00BA1C73">
        <w:rPr>
          <w:rFonts w:ascii="Times New Roman" w:hAnsi="Times New Roman" w:cs="Times New Roman"/>
          <w:sz w:val="28"/>
          <w:szCs w:val="28"/>
        </w:rPr>
        <w:t>e sono già state impegnate (iscritte</w:t>
      </w:r>
      <w:r w:rsidR="004962D1">
        <w:rPr>
          <w:rFonts w:ascii="Times New Roman" w:hAnsi="Times New Roman" w:cs="Times New Roman"/>
          <w:sz w:val="28"/>
          <w:szCs w:val="28"/>
        </w:rPr>
        <w:t xml:space="preserve"> in contabilità</w:t>
      </w:r>
      <w:r w:rsidR="00BA1C73">
        <w:rPr>
          <w:rFonts w:ascii="Times New Roman" w:hAnsi="Times New Roman" w:cs="Times New Roman"/>
          <w:sz w:val="28"/>
          <w:szCs w:val="28"/>
        </w:rPr>
        <w:t>) in</w:t>
      </w:r>
      <w:r w:rsidRPr="005B6AAC">
        <w:rPr>
          <w:rFonts w:ascii="Times New Roman" w:hAnsi="Times New Roman" w:cs="Times New Roman"/>
          <w:sz w:val="28"/>
          <w:szCs w:val="28"/>
        </w:rPr>
        <w:t xml:space="preserve"> esercizi precedenti con imput</w:t>
      </w:r>
      <w:r w:rsidR="004962D1">
        <w:rPr>
          <w:rFonts w:ascii="Times New Roman" w:hAnsi="Times New Roman" w:cs="Times New Roman"/>
          <w:sz w:val="28"/>
          <w:szCs w:val="28"/>
        </w:rPr>
        <w:t>azione a</w:t>
      </w:r>
      <w:r w:rsidRPr="005B6AAC">
        <w:rPr>
          <w:rFonts w:ascii="Times New Roman" w:hAnsi="Times New Roman" w:cs="Times New Roman"/>
          <w:sz w:val="28"/>
          <w:szCs w:val="28"/>
        </w:rPr>
        <w:t xml:space="preserve"> esercizi successivi </w:t>
      </w:r>
      <w:r w:rsidR="004962D1">
        <w:rPr>
          <w:rFonts w:ascii="Times New Roman" w:hAnsi="Times New Roman" w:cs="Times New Roman"/>
          <w:sz w:val="28"/>
          <w:szCs w:val="28"/>
        </w:rPr>
        <w:t>(</w:t>
      </w:r>
      <w:r w:rsidRPr="005B6AAC">
        <w:rPr>
          <w:rFonts w:ascii="Times New Roman" w:hAnsi="Times New Roman" w:cs="Times New Roman"/>
          <w:sz w:val="28"/>
          <w:szCs w:val="28"/>
        </w:rPr>
        <w:t>la cui copertura</w:t>
      </w:r>
      <w:r w:rsidR="004962D1">
        <w:rPr>
          <w:rFonts w:ascii="Times New Roman" w:hAnsi="Times New Roman" w:cs="Times New Roman"/>
          <w:sz w:val="28"/>
          <w:szCs w:val="28"/>
        </w:rPr>
        <w:t>, in entrambi i casi,</w:t>
      </w:r>
      <w:r w:rsidRPr="005B6AAC">
        <w:rPr>
          <w:rFonts w:ascii="Times New Roman" w:hAnsi="Times New Roman" w:cs="Times New Roman"/>
          <w:sz w:val="28"/>
          <w:szCs w:val="28"/>
        </w:rPr>
        <w:t xml:space="preserve"> è costituita da</w:t>
      </w:r>
      <w:r w:rsidR="004962D1">
        <w:rPr>
          <w:rFonts w:ascii="Times New Roman" w:hAnsi="Times New Roman" w:cs="Times New Roman"/>
          <w:sz w:val="28"/>
          <w:szCs w:val="28"/>
        </w:rPr>
        <w:t>lle</w:t>
      </w:r>
      <w:r w:rsidRPr="005B6AAC">
        <w:rPr>
          <w:rFonts w:ascii="Times New Roman" w:hAnsi="Times New Roman" w:cs="Times New Roman"/>
          <w:sz w:val="28"/>
          <w:szCs w:val="28"/>
        </w:rPr>
        <w:t xml:space="preserve"> entrate che si prevede di accertare</w:t>
      </w:r>
      <w:r w:rsidR="004962D1">
        <w:rPr>
          <w:rFonts w:ascii="Times New Roman" w:hAnsi="Times New Roman" w:cs="Times New Roman"/>
          <w:sz w:val="28"/>
          <w:szCs w:val="28"/>
        </w:rPr>
        <w:t>, o meglio imputare,</w:t>
      </w:r>
      <w:r w:rsidRPr="005B6AAC">
        <w:rPr>
          <w:rFonts w:ascii="Times New Roman" w:hAnsi="Times New Roman" w:cs="Times New Roman"/>
          <w:sz w:val="28"/>
          <w:szCs w:val="28"/>
        </w:rPr>
        <w:t xml:space="preserve"> nel corso dell'esercizio e dal fondo pluriennale vincolato iscritto tra le entrate</w:t>
      </w:r>
      <w:r w:rsidR="004962D1">
        <w:rPr>
          <w:rFonts w:ascii="Times New Roman" w:hAnsi="Times New Roman" w:cs="Times New Roman"/>
          <w:sz w:val="28"/>
          <w:szCs w:val="28"/>
        </w:rPr>
        <w:t>)</w:t>
      </w:r>
      <w:r w:rsidRPr="005B6AAC">
        <w:rPr>
          <w:rFonts w:ascii="Times New Roman" w:hAnsi="Times New Roman" w:cs="Times New Roman"/>
          <w:sz w:val="28"/>
          <w:szCs w:val="28"/>
        </w:rPr>
        <w:t xml:space="preserve">. </w:t>
      </w:r>
    </w:p>
    <w:p w14:paraId="24774687" w14:textId="616FB527" w:rsidR="005B6AAC" w:rsidRPr="005B6AAC" w:rsidRDefault="005B6AAC" w:rsidP="005B6AAC">
      <w:pPr>
        <w:spacing w:after="120" w:line="240" w:lineRule="auto"/>
        <w:jc w:val="both"/>
        <w:rPr>
          <w:rFonts w:ascii="Times New Roman" w:hAnsi="Times New Roman" w:cs="Times New Roman"/>
          <w:sz w:val="28"/>
          <w:szCs w:val="28"/>
        </w:rPr>
      </w:pPr>
      <w:r w:rsidRPr="005B6AAC">
        <w:rPr>
          <w:rFonts w:ascii="Times New Roman" w:hAnsi="Times New Roman" w:cs="Times New Roman"/>
          <w:sz w:val="28"/>
          <w:szCs w:val="28"/>
        </w:rPr>
        <w:t>Le prevision</w:t>
      </w:r>
      <w:r w:rsidR="004962D1">
        <w:rPr>
          <w:rFonts w:ascii="Times New Roman" w:hAnsi="Times New Roman" w:cs="Times New Roman"/>
          <w:sz w:val="28"/>
          <w:szCs w:val="28"/>
        </w:rPr>
        <w:t>i di competenza finanziaria vanno, infatti,</w:t>
      </w:r>
      <w:r w:rsidRPr="005B6AAC">
        <w:rPr>
          <w:rFonts w:ascii="Times New Roman" w:hAnsi="Times New Roman" w:cs="Times New Roman"/>
          <w:sz w:val="28"/>
          <w:szCs w:val="28"/>
        </w:rPr>
        <w:t xml:space="preserve"> elaborate in coerenza con il principio generale n. 16</w:t>
      </w:r>
      <w:r w:rsidR="004962D1">
        <w:rPr>
          <w:rFonts w:ascii="Times New Roman" w:hAnsi="Times New Roman" w:cs="Times New Roman"/>
          <w:sz w:val="28"/>
          <w:szCs w:val="28"/>
        </w:rPr>
        <w:t xml:space="preserve"> (Allegato 4/1 al d.lgs. n. 118/2011)</w:t>
      </w:r>
      <w:r w:rsidRPr="005B6AAC">
        <w:rPr>
          <w:rFonts w:ascii="Times New Roman" w:hAnsi="Times New Roman" w:cs="Times New Roman"/>
          <w:sz w:val="28"/>
          <w:szCs w:val="28"/>
        </w:rPr>
        <w:t xml:space="preserve"> e rappresentano le entrate e le spese che </w:t>
      </w:r>
      <w:r w:rsidR="004962D1">
        <w:rPr>
          <w:rFonts w:ascii="Times New Roman" w:hAnsi="Times New Roman" w:cs="Times New Roman"/>
          <w:sz w:val="28"/>
          <w:szCs w:val="28"/>
        </w:rPr>
        <w:t>“</w:t>
      </w:r>
      <w:r w:rsidRPr="00260C60">
        <w:rPr>
          <w:rFonts w:ascii="Times New Roman" w:hAnsi="Times New Roman" w:cs="Times New Roman"/>
          <w:i/>
          <w:iCs/>
          <w:sz w:val="28"/>
          <w:szCs w:val="28"/>
          <w:u w:val="single"/>
        </w:rPr>
        <w:t>si prevede saranno esigibili in ciascuno degli esercizi considerati</w:t>
      </w:r>
      <w:r w:rsidR="004962D1">
        <w:rPr>
          <w:rFonts w:ascii="Times New Roman" w:hAnsi="Times New Roman" w:cs="Times New Roman"/>
          <w:sz w:val="28"/>
          <w:szCs w:val="28"/>
        </w:rPr>
        <w:t>”</w:t>
      </w:r>
      <w:r w:rsidR="004962D1">
        <w:rPr>
          <w:rStyle w:val="Rimandonotaapidipagina"/>
          <w:rFonts w:ascii="Times New Roman" w:hAnsi="Times New Roman" w:cs="Times New Roman"/>
          <w:sz w:val="28"/>
          <w:szCs w:val="28"/>
        </w:rPr>
        <w:footnoteReference w:id="20"/>
      </w:r>
      <w:r w:rsidRPr="005B6AAC">
        <w:rPr>
          <w:rFonts w:ascii="Times New Roman" w:hAnsi="Times New Roman" w:cs="Times New Roman"/>
          <w:sz w:val="28"/>
          <w:szCs w:val="28"/>
        </w:rPr>
        <w:t>, anche se la relativa obbligazione è sorta in esercizi precedenti</w:t>
      </w:r>
      <w:r w:rsidR="004962D1">
        <w:rPr>
          <w:rFonts w:ascii="Times New Roman" w:hAnsi="Times New Roman" w:cs="Times New Roman"/>
          <w:sz w:val="28"/>
          <w:szCs w:val="28"/>
        </w:rPr>
        <w:t xml:space="preserve"> (e, come tale, ha già avuto modo di essere iscritta, quale accertamento o impegno, nelle scritture contabili)</w:t>
      </w:r>
      <w:r w:rsidRPr="005B6AAC">
        <w:rPr>
          <w:rFonts w:ascii="Times New Roman" w:hAnsi="Times New Roman" w:cs="Times New Roman"/>
          <w:sz w:val="28"/>
          <w:szCs w:val="28"/>
        </w:rPr>
        <w:t xml:space="preserve">. </w:t>
      </w:r>
    </w:p>
    <w:p w14:paraId="26595B30" w14:textId="1EE231CA" w:rsidR="005B6AAC" w:rsidRPr="005B6AAC" w:rsidRDefault="00260C60" w:rsidP="005B6AA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Inoltre, c</w:t>
      </w:r>
      <w:r w:rsidR="005B6AAC" w:rsidRPr="005B6AAC">
        <w:rPr>
          <w:rFonts w:ascii="Times New Roman" w:hAnsi="Times New Roman" w:cs="Times New Roman"/>
          <w:sz w:val="28"/>
          <w:szCs w:val="28"/>
        </w:rPr>
        <w:t>on riferimento a ciascun esercizio considerato nel bilancio</w:t>
      </w:r>
      <w:r w:rsidR="009647F8">
        <w:rPr>
          <w:rFonts w:ascii="Times New Roman" w:hAnsi="Times New Roman" w:cs="Times New Roman"/>
          <w:sz w:val="28"/>
          <w:szCs w:val="28"/>
        </w:rPr>
        <w:t xml:space="preserve"> di previsione</w:t>
      </w:r>
      <w:r w:rsidR="005B6AAC" w:rsidRPr="005B6AAC">
        <w:rPr>
          <w:rFonts w:ascii="Times New Roman" w:hAnsi="Times New Roman" w:cs="Times New Roman"/>
          <w:sz w:val="28"/>
          <w:szCs w:val="28"/>
        </w:rPr>
        <w:t xml:space="preserve">, </w:t>
      </w:r>
      <w:r w:rsidR="009647F8">
        <w:rPr>
          <w:rFonts w:ascii="Times New Roman" w:hAnsi="Times New Roman" w:cs="Times New Roman"/>
          <w:sz w:val="28"/>
          <w:szCs w:val="28"/>
        </w:rPr>
        <w:t xml:space="preserve">il nuovo ordinamento contabile impone di iscrivere, </w:t>
      </w:r>
      <w:r w:rsidR="005B6AAC" w:rsidRPr="005B6AAC">
        <w:rPr>
          <w:rFonts w:ascii="Times New Roman" w:hAnsi="Times New Roman" w:cs="Times New Roman"/>
          <w:sz w:val="28"/>
          <w:szCs w:val="28"/>
        </w:rPr>
        <w:t xml:space="preserve">prima degli stanziamenti riguardanti le entrate, </w:t>
      </w:r>
      <w:r w:rsidR="009647F8">
        <w:rPr>
          <w:rFonts w:ascii="Times New Roman" w:hAnsi="Times New Roman" w:cs="Times New Roman"/>
          <w:sz w:val="28"/>
          <w:szCs w:val="28"/>
        </w:rPr>
        <w:t>oltre alle quote di risultato d’amministrazione che si prevede di utilizzare</w:t>
      </w:r>
      <w:r w:rsidR="009647F8">
        <w:rPr>
          <w:rStyle w:val="Rimandonotaapidipagina"/>
          <w:rFonts w:ascii="Times New Roman" w:hAnsi="Times New Roman" w:cs="Times New Roman"/>
          <w:sz w:val="28"/>
          <w:szCs w:val="28"/>
        </w:rPr>
        <w:footnoteReference w:id="21"/>
      </w:r>
      <w:r w:rsidR="00F42698">
        <w:rPr>
          <w:rFonts w:ascii="Times New Roman" w:hAnsi="Times New Roman" w:cs="Times New Roman"/>
          <w:sz w:val="28"/>
          <w:szCs w:val="28"/>
        </w:rPr>
        <w:t xml:space="preserve">, </w:t>
      </w:r>
      <w:r w:rsidR="005B6AAC" w:rsidRPr="005B6AAC">
        <w:rPr>
          <w:rFonts w:ascii="Times New Roman" w:hAnsi="Times New Roman" w:cs="Times New Roman"/>
          <w:sz w:val="28"/>
          <w:szCs w:val="28"/>
        </w:rPr>
        <w:t>le voci relative al fondo pluriennale vincolato</w:t>
      </w:r>
      <w:r w:rsidR="008C273E">
        <w:rPr>
          <w:rStyle w:val="Rimandonotaapidipagina"/>
          <w:rFonts w:ascii="Times New Roman" w:hAnsi="Times New Roman" w:cs="Times New Roman"/>
          <w:sz w:val="28"/>
          <w:szCs w:val="28"/>
        </w:rPr>
        <w:footnoteReference w:id="22"/>
      </w:r>
      <w:r w:rsidR="005B6AAC" w:rsidRPr="005B6AAC">
        <w:rPr>
          <w:rFonts w:ascii="Times New Roman" w:hAnsi="Times New Roman" w:cs="Times New Roman"/>
          <w:sz w:val="28"/>
          <w:szCs w:val="28"/>
        </w:rPr>
        <w:t>.</w:t>
      </w:r>
      <w:r w:rsidR="006723B6">
        <w:rPr>
          <w:rFonts w:ascii="Times New Roman" w:hAnsi="Times New Roman" w:cs="Times New Roman"/>
          <w:sz w:val="28"/>
          <w:szCs w:val="28"/>
        </w:rPr>
        <w:t xml:space="preserve"> </w:t>
      </w:r>
      <w:r w:rsidR="00F42698">
        <w:rPr>
          <w:rFonts w:ascii="Times New Roman" w:hAnsi="Times New Roman" w:cs="Times New Roman"/>
          <w:sz w:val="28"/>
          <w:szCs w:val="28"/>
        </w:rPr>
        <w:t>Nello specifico, l</w:t>
      </w:r>
      <w:r w:rsidR="005B6AAC" w:rsidRPr="005B6AAC">
        <w:rPr>
          <w:rFonts w:ascii="Times New Roman" w:hAnsi="Times New Roman" w:cs="Times New Roman"/>
          <w:sz w:val="28"/>
          <w:szCs w:val="28"/>
        </w:rPr>
        <w:t>'importo complessivo dei fondi pluriennali iscritti tra le entrate di ciascun esercizio considera</w:t>
      </w:r>
      <w:r w:rsidR="00F42698">
        <w:rPr>
          <w:rFonts w:ascii="Times New Roman" w:hAnsi="Times New Roman" w:cs="Times New Roman"/>
          <w:sz w:val="28"/>
          <w:szCs w:val="28"/>
        </w:rPr>
        <w:t>to nel bilancio corrisponde alla somma dell’</w:t>
      </w:r>
      <w:r w:rsidR="005B6AAC" w:rsidRPr="005B6AAC">
        <w:rPr>
          <w:rFonts w:ascii="Times New Roman" w:hAnsi="Times New Roman" w:cs="Times New Roman"/>
          <w:sz w:val="28"/>
          <w:szCs w:val="28"/>
        </w:rPr>
        <w:t>importo dei</w:t>
      </w:r>
      <w:r w:rsidR="00F42698">
        <w:rPr>
          <w:rFonts w:ascii="Times New Roman" w:hAnsi="Times New Roman" w:cs="Times New Roman"/>
          <w:sz w:val="28"/>
          <w:szCs w:val="28"/>
        </w:rPr>
        <w:t xml:space="preserve"> fondi pluriennali di spesa degli anni precedenti</w:t>
      </w:r>
      <w:r w:rsidR="00F42698">
        <w:rPr>
          <w:rStyle w:val="Rimandonotaapidipagina"/>
          <w:rFonts w:ascii="Times New Roman" w:hAnsi="Times New Roman" w:cs="Times New Roman"/>
          <w:sz w:val="28"/>
          <w:szCs w:val="28"/>
        </w:rPr>
        <w:footnoteReference w:id="23"/>
      </w:r>
      <w:r w:rsidR="005B6AAC" w:rsidRPr="005B6AAC">
        <w:rPr>
          <w:rFonts w:ascii="Times New Roman" w:hAnsi="Times New Roman" w:cs="Times New Roman"/>
          <w:sz w:val="28"/>
          <w:szCs w:val="28"/>
        </w:rPr>
        <w:t xml:space="preserve">. </w:t>
      </w:r>
    </w:p>
    <w:p w14:paraId="70B8BE9F" w14:textId="4A09EB86" w:rsidR="00F42698" w:rsidRPr="00F42698" w:rsidRDefault="00F42698" w:rsidP="00F4269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Il </w:t>
      </w:r>
      <w:r w:rsidRPr="006723B6">
        <w:rPr>
          <w:rFonts w:ascii="Times New Roman" w:hAnsi="Times New Roman" w:cs="Times New Roman"/>
          <w:sz w:val="28"/>
          <w:szCs w:val="28"/>
          <w:u w:val="single"/>
        </w:rPr>
        <w:t>paragrafo 5.4 del Principio contabile applicato concernente la contabilità finanziaria, Allegato 4/2 al d.lgs. n. 118/2011</w:t>
      </w:r>
      <w:r>
        <w:rPr>
          <w:rFonts w:ascii="Times New Roman" w:hAnsi="Times New Roman" w:cs="Times New Roman"/>
          <w:sz w:val="28"/>
          <w:szCs w:val="28"/>
        </w:rPr>
        <w:t xml:space="preserve">, puntualizza quanto disposto nell’articolato del decreto sull’armonizzazione, nonché nel Principio applicato della programmazione, </w:t>
      </w:r>
      <w:r w:rsidRPr="006723B6">
        <w:rPr>
          <w:rFonts w:ascii="Times New Roman" w:hAnsi="Times New Roman" w:cs="Times New Roman"/>
          <w:sz w:val="28"/>
          <w:szCs w:val="28"/>
          <w:u w:val="single"/>
        </w:rPr>
        <w:t>definendo il “</w:t>
      </w:r>
      <w:r w:rsidRPr="00050007">
        <w:rPr>
          <w:rFonts w:ascii="Times New Roman" w:hAnsi="Times New Roman" w:cs="Times New Roman"/>
          <w:i/>
          <w:iCs/>
          <w:sz w:val="28"/>
          <w:szCs w:val="28"/>
          <w:u w:val="single"/>
        </w:rPr>
        <w:t>fondo pluriennale vincolato</w:t>
      </w:r>
      <w:r w:rsidRPr="006723B6">
        <w:rPr>
          <w:rFonts w:ascii="Times New Roman" w:hAnsi="Times New Roman" w:cs="Times New Roman"/>
          <w:sz w:val="28"/>
          <w:szCs w:val="28"/>
          <w:u w:val="single"/>
        </w:rPr>
        <w:t>” come un saldo finanziario</w:t>
      </w:r>
      <w:r w:rsidRPr="00F42698">
        <w:rPr>
          <w:rFonts w:ascii="Times New Roman" w:hAnsi="Times New Roman" w:cs="Times New Roman"/>
          <w:sz w:val="28"/>
          <w:szCs w:val="28"/>
        </w:rPr>
        <w:t xml:space="preserve">, costituito da </w:t>
      </w:r>
      <w:r>
        <w:rPr>
          <w:rFonts w:ascii="Times New Roman" w:hAnsi="Times New Roman" w:cs="Times New Roman"/>
          <w:sz w:val="28"/>
          <w:szCs w:val="28"/>
        </w:rPr>
        <w:t>“</w:t>
      </w:r>
      <w:r w:rsidRPr="006723B6">
        <w:rPr>
          <w:rFonts w:ascii="Times New Roman" w:hAnsi="Times New Roman" w:cs="Times New Roman"/>
          <w:i/>
          <w:sz w:val="28"/>
          <w:szCs w:val="28"/>
        </w:rPr>
        <w:t>risorse già accertate destinate al finanziamento di obbligazioni passive dell'ente già impegnate, ma esigibili in esercizi successivi a quello in cui è accertata l'entrata</w:t>
      </w:r>
      <w:r>
        <w:rPr>
          <w:rFonts w:ascii="Times New Roman" w:hAnsi="Times New Roman" w:cs="Times New Roman"/>
          <w:sz w:val="28"/>
          <w:szCs w:val="28"/>
        </w:rPr>
        <w:t>”</w:t>
      </w:r>
      <w:r w:rsidRPr="00F42698">
        <w:rPr>
          <w:rFonts w:ascii="Times New Roman" w:hAnsi="Times New Roman" w:cs="Times New Roman"/>
          <w:sz w:val="28"/>
          <w:szCs w:val="28"/>
        </w:rPr>
        <w:t xml:space="preserve">. </w:t>
      </w:r>
      <w:r>
        <w:rPr>
          <w:rFonts w:ascii="Times New Roman" w:hAnsi="Times New Roman" w:cs="Times New Roman"/>
          <w:sz w:val="28"/>
          <w:szCs w:val="28"/>
        </w:rPr>
        <w:t xml:space="preserve">Si tratta di un fondo che, oltre a </w:t>
      </w:r>
      <w:r w:rsidRPr="00F42698">
        <w:rPr>
          <w:rFonts w:ascii="Times New Roman" w:hAnsi="Times New Roman" w:cs="Times New Roman"/>
          <w:sz w:val="28"/>
          <w:szCs w:val="28"/>
        </w:rPr>
        <w:t>garanti</w:t>
      </w:r>
      <w:r>
        <w:rPr>
          <w:rFonts w:ascii="Times New Roman" w:hAnsi="Times New Roman" w:cs="Times New Roman"/>
          <w:sz w:val="28"/>
          <w:szCs w:val="28"/>
        </w:rPr>
        <w:t>re, come esposto, l</w:t>
      </w:r>
      <w:r w:rsidRPr="00F42698">
        <w:rPr>
          <w:rFonts w:ascii="Times New Roman" w:hAnsi="Times New Roman" w:cs="Times New Roman"/>
          <w:sz w:val="28"/>
          <w:szCs w:val="28"/>
        </w:rPr>
        <w:t xml:space="preserve">a </w:t>
      </w:r>
      <w:r>
        <w:rPr>
          <w:rFonts w:ascii="Times New Roman" w:hAnsi="Times New Roman" w:cs="Times New Roman"/>
          <w:sz w:val="28"/>
          <w:szCs w:val="28"/>
        </w:rPr>
        <w:t>copertura di spese imputate a</w:t>
      </w:r>
      <w:r w:rsidRPr="00F42698">
        <w:rPr>
          <w:rFonts w:ascii="Times New Roman" w:hAnsi="Times New Roman" w:cs="Times New Roman"/>
          <w:sz w:val="28"/>
          <w:szCs w:val="28"/>
        </w:rPr>
        <w:t xml:space="preserve"> esercizi successivi,</w:t>
      </w:r>
      <w:r>
        <w:rPr>
          <w:rFonts w:ascii="Times New Roman" w:hAnsi="Times New Roman" w:cs="Times New Roman"/>
          <w:sz w:val="28"/>
          <w:szCs w:val="28"/>
        </w:rPr>
        <w:t xml:space="preserve"> in ragione </w:t>
      </w:r>
      <w:r w:rsidRPr="00F42698">
        <w:rPr>
          <w:rFonts w:ascii="Times New Roman" w:hAnsi="Times New Roman" w:cs="Times New Roman"/>
          <w:sz w:val="28"/>
          <w:szCs w:val="28"/>
        </w:rPr>
        <w:t>d</w:t>
      </w:r>
      <w:r>
        <w:rPr>
          <w:rFonts w:ascii="Times New Roman" w:hAnsi="Times New Roman" w:cs="Times New Roman"/>
          <w:sz w:val="28"/>
          <w:szCs w:val="28"/>
        </w:rPr>
        <w:t>e</w:t>
      </w:r>
      <w:r w:rsidRPr="00F42698">
        <w:rPr>
          <w:rFonts w:ascii="Times New Roman" w:hAnsi="Times New Roman" w:cs="Times New Roman"/>
          <w:sz w:val="28"/>
          <w:szCs w:val="28"/>
        </w:rPr>
        <w:t xml:space="preserve">ll'esigenza di applicare il principio della competenza finanziaria </w:t>
      </w:r>
      <w:r>
        <w:rPr>
          <w:rFonts w:ascii="Times New Roman" w:hAnsi="Times New Roman" w:cs="Times New Roman"/>
          <w:sz w:val="28"/>
          <w:szCs w:val="28"/>
        </w:rPr>
        <w:t>c.d. potenziata</w:t>
      </w:r>
      <w:r w:rsidRPr="00F42698">
        <w:rPr>
          <w:rFonts w:ascii="Times New Roman" w:hAnsi="Times New Roman" w:cs="Times New Roman"/>
          <w:sz w:val="28"/>
          <w:szCs w:val="28"/>
        </w:rPr>
        <w:t xml:space="preserve">, </w:t>
      </w:r>
      <w:r>
        <w:rPr>
          <w:rFonts w:ascii="Times New Roman" w:hAnsi="Times New Roman" w:cs="Times New Roman"/>
          <w:sz w:val="28"/>
          <w:szCs w:val="28"/>
        </w:rPr>
        <w:t xml:space="preserve">è funzionale a </w:t>
      </w:r>
      <w:r w:rsidRPr="006723B6">
        <w:rPr>
          <w:rFonts w:ascii="Times New Roman" w:hAnsi="Times New Roman" w:cs="Times New Roman"/>
          <w:sz w:val="28"/>
          <w:szCs w:val="28"/>
          <w:u w:val="single"/>
        </w:rPr>
        <w:t>rendere evidente la distanza temporale intercorrente tra l'acquisizione dei finanziamenti ed il loro effettivo impiego</w:t>
      </w:r>
      <w:r w:rsidRPr="00F42698">
        <w:rPr>
          <w:rFonts w:ascii="Times New Roman" w:hAnsi="Times New Roman" w:cs="Times New Roman"/>
          <w:sz w:val="28"/>
          <w:szCs w:val="28"/>
        </w:rPr>
        <w:t xml:space="preserve">. </w:t>
      </w:r>
    </w:p>
    <w:p w14:paraId="6A2FD693" w14:textId="0B0586C2" w:rsidR="00A47B57" w:rsidRDefault="00F42698" w:rsidP="00F42698">
      <w:pPr>
        <w:spacing w:after="120" w:line="240" w:lineRule="auto"/>
        <w:jc w:val="both"/>
        <w:rPr>
          <w:rFonts w:ascii="Times New Roman" w:hAnsi="Times New Roman" w:cs="Times New Roman"/>
          <w:sz w:val="28"/>
          <w:szCs w:val="28"/>
        </w:rPr>
      </w:pPr>
      <w:r w:rsidRPr="00F42698">
        <w:rPr>
          <w:rFonts w:ascii="Times New Roman" w:hAnsi="Times New Roman" w:cs="Times New Roman"/>
          <w:sz w:val="28"/>
          <w:szCs w:val="28"/>
        </w:rPr>
        <w:t>Il fondo pluriennale vincolato</w:t>
      </w:r>
      <w:r>
        <w:rPr>
          <w:rFonts w:ascii="Times New Roman" w:hAnsi="Times New Roman" w:cs="Times New Roman"/>
          <w:sz w:val="28"/>
          <w:szCs w:val="28"/>
        </w:rPr>
        <w:t>, infatti,</w:t>
      </w:r>
      <w:r w:rsidRPr="00F42698">
        <w:rPr>
          <w:rFonts w:ascii="Times New Roman" w:hAnsi="Times New Roman" w:cs="Times New Roman"/>
          <w:sz w:val="28"/>
          <w:szCs w:val="28"/>
        </w:rPr>
        <w:t xml:space="preserve"> </w:t>
      </w:r>
      <w:r>
        <w:rPr>
          <w:rFonts w:ascii="Times New Roman" w:hAnsi="Times New Roman" w:cs="Times New Roman"/>
          <w:sz w:val="28"/>
          <w:szCs w:val="28"/>
        </w:rPr>
        <w:t xml:space="preserve">precisa il Principio contabile applicato, </w:t>
      </w:r>
      <w:r w:rsidRPr="00F42698">
        <w:rPr>
          <w:rFonts w:ascii="Times New Roman" w:hAnsi="Times New Roman" w:cs="Times New Roman"/>
          <w:sz w:val="28"/>
          <w:szCs w:val="28"/>
        </w:rPr>
        <w:t>è formato</w:t>
      </w:r>
      <w:r w:rsidR="00A47B57">
        <w:rPr>
          <w:rFonts w:ascii="Times New Roman" w:hAnsi="Times New Roman" w:cs="Times New Roman"/>
          <w:sz w:val="28"/>
          <w:szCs w:val="28"/>
        </w:rPr>
        <w:t>, generalmente</w:t>
      </w:r>
      <w:r w:rsidR="00A47B57">
        <w:rPr>
          <w:rStyle w:val="Rimandonotaapidipagina"/>
          <w:rFonts w:ascii="Times New Roman" w:hAnsi="Times New Roman" w:cs="Times New Roman"/>
          <w:sz w:val="28"/>
          <w:szCs w:val="28"/>
        </w:rPr>
        <w:footnoteReference w:id="24"/>
      </w:r>
      <w:r w:rsidR="00A47B57">
        <w:rPr>
          <w:rFonts w:ascii="Times New Roman" w:hAnsi="Times New Roman" w:cs="Times New Roman"/>
          <w:sz w:val="28"/>
          <w:szCs w:val="28"/>
        </w:rPr>
        <w:t>,</w:t>
      </w:r>
      <w:r w:rsidRPr="00F42698">
        <w:rPr>
          <w:rFonts w:ascii="Times New Roman" w:hAnsi="Times New Roman" w:cs="Times New Roman"/>
          <w:sz w:val="28"/>
          <w:szCs w:val="28"/>
        </w:rPr>
        <w:t xml:space="preserve"> da </w:t>
      </w:r>
      <w:r w:rsidRPr="00A47B57">
        <w:rPr>
          <w:rFonts w:ascii="Times New Roman" w:hAnsi="Times New Roman" w:cs="Times New Roman"/>
          <w:sz w:val="28"/>
          <w:szCs w:val="28"/>
          <w:u w:val="single"/>
        </w:rPr>
        <w:t>entrate correnti vincolate</w:t>
      </w:r>
      <w:r w:rsidRPr="00F42698">
        <w:rPr>
          <w:rFonts w:ascii="Times New Roman" w:hAnsi="Times New Roman" w:cs="Times New Roman"/>
          <w:sz w:val="28"/>
          <w:szCs w:val="28"/>
        </w:rPr>
        <w:t xml:space="preserve"> e da </w:t>
      </w:r>
      <w:r w:rsidRPr="00A47B57">
        <w:rPr>
          <w:rFonts w:ascii="Times New Roman" w:hAnsi="Times New Roman" w:cs="Times New Roman"/>
          <w:sz w:val="28"/>
          <w:szCs w:val="28"/>
          <w:u w:val="single"/>
        </w:rPr>
        <w:t>entrate destinate al finanziamento di investimenti</w:t>
      </w:r>
      <w:r w:rsidR="00A47B57">
        <w:rPr>
          <w:rFonts w:ascii="Times New Roman" w:hAnsi="Times New Roman" w:cs="Times New Roman"/>
          <w:sz w:val="28"/>
          <w:szCs w:val="28"/>
        </w:rPr>
        <w:t>, accertate e imputate a</w:t>
      </w:r>
      <w:r w:rsidRPr="00F42698">
        <w:rPr>
          <w:rFonts w:ascii="Times New Roman" w:hAnsi="Times New Roman" w:cs="Times New Roman"/>
          <w:sz w:val="28"/>
          <w:szCs w:val="28"/>
        </w:rPr>
        <w:t xml:space="preserve"> esercizi precedenti </w:t>
      </w:r>
      <w:r w:rsidR="00A47B57">
        <w:rPr>
          <w:rFonts w:ascii="Times New Roman" w:hAnsi="Times New Roman" w:cs="Times New Roman"/>
          <w:sz w:val="28"/>
          <w:szCs w:val="28"/>
        </w:rPr>
        <w:t xml:space="preserve">rispetto </w:t>
      </w:r>
      <w:r w:rsidRPr="00F42698">
        <w:rPr>
          <w:rFonts w:ascii="Times New Roman" w:hAnsi="Times New Roman" w:cs="Times New Roman"/>
          <w:sz w:val="28"/>
          <w:szCs w:val="28"/>
        </w:rPr>
        <w:t>a quelli di imputazione delle relative spese</w:t>
      </w:r>
      <w:r w:rsidR="00A47B57">
        <w:rPr>
          <w:rStyle w:val="Rimandonotaapidipagina"/>
          <w:rFonts w:ascii="Times New Roman" w:hAnsi="Times New Roman" w:cs="Times New Roman"/>
          <w:sz w:val="28"/>
          <w:szCs w:val="28"/>
        </w:rPr>
        <w:footnoteReference w:id="25"/>
      </w:r>
      <w:r w:rsidRPr="00F42698">
        <w:rPr>
          <w:rFonts w:ascii="Times New Roman" w:hAnsi="Times New Roman" w:cs="Times New Roman"/>
          <w:sz w:val="28"/>
          <w:szCs w:val="28"/>
        </w:rPr>
        <w:t xml:space="preserve">. </w:t>
      </w:r>
      <w:r w:rsidR="008C273E" w:rsidRPr="00F42698">
        <w:rPr>
          <w:rFonts w:ascii="Times New Roman" w:hAnsi="Times New Roman" w:cs="Times New Roman"/>
          <w:sz w:val="28"/>
          <w:szCs w:val="28"/>
        </w:rPr>
        <w:t>Il fondo riguarda prevalentemente le spese in conto capitale ma può essere destinato a garantire la copertura</w:t>
      </w:r>
      <w:r w:rsidR="006723B6">
        <w:rPr>
          <w:rFonts w:ascii="Times New Roman" w:hAnsi="Times New Roman" w:cs="Times New Roman"/>
          <w:sz w:val="28"/>
          <w:szCs w:val="28"/>
        </w:rPr>
        <w:t xml:space="preserve"> di spese correnti, ad esempio</w:t>
      </w:r>
      <w:r w:rsidR="008C273E" w:rsidRPr="00F42698">
        <w:rPr>
          <w:rFonts w:ascii="Times New Roman" w:hAnsi="Times New Roman" w:cs="Times New Roman"/>
          <w:sz w:val="28"/>
          <w:szCs w:val="28"/>
        </w:rPr>
        <w:t xml:space="preserve"> derivanti da trasferimenti correnti vincolati, esigibili in esercizi precedenti </w:t>
      </w:r>
      <w:r w:rsidR="008C273E">
        <w:rPr>
          <w:rFonts w:ascii="Times New Roman" w:hAnsi="Times New Roman" w:cs="Times New Roman"/>
          <w:sz w:val="28"/>
          <w:szCs w:val="28"/>
        </w:rPr>
        <w:t xml:space="preserve">rispetto alla </w:t>
      </w:r>
      <w:r w:rsidR="008C273E" w:rsidRPr="00F42698">
        <w:rPr>
          <w:rFonts w:ascii="Times New Roman" w:hAnsi="Times New Roman" w:cs="Times New Roman"/>
          <w:sz w:val="28"/>
          <w:szCs w:val="28"/>
        </w:rPr>
        <w:t>corrispondente spesa.</w:t>
      </w:r>
    </w:p>
    <w:p w14:paraId="7A75DF95" w14:textId="2E4C9E59" w:rsidR="00F42698" w:rsidRPr="00F42698" w:rsidRDefault="00F42698" w:rsidP="00F42698">
      <w:pPr>
        <w:spacing w:after="120" w:line="240" w:lineRule="auto"/>
        <w:jc w:val="both"/>
        <w:rPr>
          <w:rFonts w:ascii="Times New Roman" w:hAnsi="Times New Roman" w:cs="Times New Roman"/>
          <w:sz w:val="28"/>
          <w:szCs w:val="28"/>
        </w:rPr>
      </w:pPr>
      <w:r w:rsidRPr="006723B6">
        <w:rPr>
          <w:rFonts w:ascii="Times New Roman" w:hAnsi="Times New Roman" w:cs="Times New Roman"/>
          <w:sz w:val="28"/>
          <w:szCs w:val="28"/>
          <w:u w:val="single"/>
        </w:rPr>
        <w:t>Prescinde</w:t>
      </w:r>
      <w:r w:rsidR="00A47B57" w:rsidRPr="006723B6">
        <w:rPr>
          <w:rFonts w:ascii="Times New Roman" w:hAnsi="Times New Roman" w:cs="Times New Roman"/>
          <w:sz w:val="28"/>
          <w:szCs w:val="28"/>
          <w:u w:val="single"/>
        </w:rPr>
        <w:t>, invece,</w:t>
      </w:r>
      <w:r w:rsidRPr="006723B6">
        <w:rPr>
          <w:rFonts w:ascii="Times New Roman" w:hAnsi="Times New Roman" w:cs="Times New Roman"/>
          <w:sz w:val="28"/>
          <w:szCs w:val="28"/>
          <w:u w:val="single"/>
        </w:rPr>
        <w:t xml:space="preserve"> dalla natura vincolata o destinata delle entrate che lo alimentano, il fondo pluriennale vincolato costituito</w:t>
      </w:r>
      <w:r w:rsidR="00A47B57" w:rsidRPr="006723B6">
        <w:rPr>
          <w:rFonts w:ascii="Times New Roman" w:hAnsi="Times New Roman" w:cs="Times New Roman"/>
          <w:sz w:val="28"/>
          <w:szCs w:val="28"/>
          <w:u w:val="single"/>
        </w:rPr>
        <w:t xml:space="preserve"> in occasione</w:t>
      </w:r>
      <w:r w:rsidRPr="00F42698">
        <w:rPr>
          <w:rFonts w:ascii="Times New Roman" w:hAnsi="Times New Roman" w:cs="Times New Roman"/>
          <w:sz w:val="28"/>
          <w:szCs w:val="28"/>
        </w:rPr>
        <w:t xml:space="preserve">: </w:t>
      </w:r>
    </w:p>
    <w:p w14:paraId="170F40DB" w14:textId="5890D9CD" w:rsidR="00F42698" w:rsidRPr="00F42698" w:rsidRDefault="00F42698" w:rsidP="00F42698">
      <w:pPr>
        <w:spacing w:after="120" w:line="240" w:lineRule="auto"/>
        <w:jc w:val="both"/>
        <w:rPr>
          <w:rFonts w:ascii="Times New Roman" w:hAnsi="Times New Roman" w:cs="Times New Roman"/>
          <w:sz w:val="28"/>
          <w:szCs w:val="28"/>
        </w:rPr>
      </w:pPr>
      <w:r w:rsidRPr="00F42698">
        <w:rPr>
          <w:rFonts w:ascii="Times New Roman" w:hAnsi="Times New Roman" w:cs="Times New Roman"/>
          <w:sz w:val="28"/>
          <w:szCs w:val="28"/>
        </w:rPr>
        <w:t xml:space="preserve">a) </w:t>
      </w:r>
      <w:r w:rsidRPr="00A47B57">
        <w:rPr>
          <w:rFonts w:ascii="Times New Roman" w:hAnsi="Times New Roman" w:cs="Times New Roman"/>
          <w:sz w:val="28"/>
          <w:szCs w:val="28"/>
          <w:u w:val="single"/>
        </w:rPr>
        <w:t>del riaccertamento ordinario dei residui</w:t>
      </w:r>
      <w:r w:rsidR="00A47B57">
        <w:rPr>
          <w:rFonts w:ascii="Times New Roman" w:hAnsi="Times New Roman" w:cs="Times New Roman"/>
          <w:sz w:val="28"/>
          <w:szCs w:val="28"/>
        </w:rPr>
        <w:t>,</w:t>
      </w:r>
      <w:r w:rsidRPr="00F42698">
        <w:rPr>
          <w:rFonts w:ascii="Times New Roman" w:hAnsi="Times New Roman" w:cs="Times New Roman"/>
          <w:sz w:val="28"/>
          <w:szCs w:val="28"/>
        </w:rPr>
        <w:t xml:space="preserve"> al fine di consentire la reimputazione di un impegno che, a seguito di eventi verificatisi successivamente alla registrazione, risulta non più esigibile nell'esercizio cui il rendiconto si riferisce</w:t>
      </w:r>
      <w:r w:rsidR="00A47B57">
        <w:rPr>
          <w:rStyle w:val="Rimandonotaapidipagina"/>
          <w:rFonts w:ascii="Times New Roman" w:hAnsi="Times New Roman" w:cs="Times New Roman"/>
          <w:sz w:val="28"/>
          <w:szCs w:val="28"/>
        </w:rPr>
        <w:footnoteReference w:id="26"/>
      </w:r>
      <w:r w:rsidR="00A47B57">
        <w:rPr>
          <w:rFonts w:ascii="Times New Roman" w:hAnsi="Times New Roman" w:cs="Times New Roman"/>
          <w:sz w:val="28"/>
          <w:szCs w:val="28"/>
        </w:rPr>
        <w:t>;</w:t>
      </w:r>
      <w:r w:rsidRPr="00F42698">
        <w:rPr>
          <w:rFonts w:ascii="Times New Roman" w:hAnsi="Times New Roman" w:cs="Times New Roman"/>
          <w:sz w:val="28"/>
          <w:szCs w:val="28"/>
        </w:rPr>
        <w:t xml:space="preserve"> </w:t>
      </w:r>
    </w:p>
    <w:p w14:paraId="3F37D06C" w14:textId="0DF4B9FD" w:rsidR="00F42698" w:rsidRPr="00F42698" w:rsidRDefault="00F42698" w:rsidP="00F42698">
      <w:pPr>
        <w:spacing w:after="120" w:line="240" w:lineRule="auto"/>
        <w:jc w:val="both"/>
        <w:rPr>
          <w:rFonts w:ascii="Times New Roman" w:hAnsi="Times New Roman" w:cs="Times New Roman"/>
          <w:sz w:val="28"/>
          <w:szCs w:val="28"/>
        </w:rPr>
      </w:pPr>
      <w:r w:rsidRPr="00F42698">
        <w:rPr>
          <w:rFonts w:ascii="Times New Roman" w:hAnsi="Times New Roman" w:cs="Times New Roman"/>
          <w:sz w:val="28"/>
          <w:szCs w:val="28"/>
        </w:rPr>
        <w:t xml:space="preserve">b) </w:t>
      </w:r>
      <w:r w:rsidR="00A47B57" w:rsidRPr="00A47B57">
        <w:rPr>
          <w:rFonts w:ascii="Times New Roman" w:hAnsi="Times New Roman" w:cs="Times New Roman"/>
          <w:sz w:val="28"/>
          <w:szCs w:val="28"/>
          <w:u w:val="single"/>
        </w:rPr>
        <w:t>d</w:t>
      </w:r>
      <w:r w:rsidRPr="00A47B57">
        <w:rPr>
          <w:rFonts w:ascii="Times New Roman" w:hAnsi="Times New Roman" w:cs="Times New Roman"/>
          <w:sz w:val="28"/>
          <w:szCs w:val="28"/>
          <w:u w:val="single"/>
        </w:rPr>
        <w:t>el riaccertamento straordinario dei residui</w:t>
      </w:r>
      <w:r w:rsidR="00A47B57">
        <w:rPr>
          <w:rStyle w:val="Rimandonotaapidipagina"/>
          <w:rFonts w:ascii="Times New Roman" w:hAnsi="Times New Roman" w:cs="Times New Roman"/>
          <w:sz w:val="28"/>
          <w:szCs w:val="28"/>
          <w:u w:val="single"/>
        </w:rPr>
        <w:footnoteReference w:id="27"/>
      </w:r>
      <w:r w:rsidRPr="00F42698">
        <w:rPr>
          <w:rFonts w:ascii="Times New Roman" w:hAnsi="Times New Roman" w:cs="Times New Roman"/>
          <w:sz w:val="28"/>
          <w:szCs w:val="28"/>
        </w:rPr>
        <w:t xml:space="preserve">, </w:t>
      </w:r>
      <w:r w:rsidR="00A47B57">
        <w:rPr>
          <w:rFonts w:ascii="Times New Roman" w:hAnsi="Times New Roman" w:cs="Times New Roman"/>
          <w:sz w:val="28"/>
          <w:szCs w:val="28"/>
        </w:rPr>
        <w:t xml:space="preserve">in sede di, avvenuto, </w:t>
      </w:r>
      <w:r w:rsidRPr="00F42698">
        <w:rPr>
          <w:rFonts w:ascii="Times New Roman" w:hAnsi="Times New Roman" w:cs="Times New Roman"/>
          <w:sz w:val="28"/>
          <w:szCs w:val="28"/>
        </w:rPr>
        <w:t>adegua</w:t>
      </w:r>
      <w:r w:rsidR="00A47B57">
        <w:rPr>
          <w:rFonts w:ascii="Times New Roman" w:hAnsi="Times New Roman" w:cs="Times New Roman"/>
          <w:sz w:val="28"/>
          <w:szCs w:val="28"/>
        </w:rPr>
        <w:t>mento</w:t>
      </w:r>
      <w:r w:rsidRPr="00F42698">
        <w:rPr>
          <w:rFonts w:ascii="Times New Roman" w:hAnsi="Times New Roman" w:cs="Times New Roman"/>
          <w:sz w:val="28"/>
          <w:szCs w:val="28"/>
        </w:rPr>
        <w:t xml:space="preserve"> </w:t>
      </w:r>
      <w:r w:rsidR="00A47B57">
        <w:rPr>
          <w:rFonts w:ascii="Times New Roman" w:hAnsi="Times New Roman" w:cs="Times New Roman"/>
          <w:sz w:val="28"/>
          <w:szCs w:val="28"/>
        </w:rPr>
        <w:t>del</w:t>
      </w:r>
      <w:r w:rsidRPr="00F42698">
        <w:rPr>
          <w:rFonts w:ascii="Times New Roman" w:hAnsi="Times New Roman" w:cs="Times New Roman"/>
          <w:sz w:val="28"/>
          <w:szCs w:val="28"/>
        </w:rPr>
        <w:t>lo stoc</w:t>
      </w:r>
      <w:r w:rsidR="00C74AA3">
        <w:rPr>
          <w:rFonts w:ascii="Times New Roman" w:hAnsi="Times New Roman" w:cs="Times New Roman"/>
          <w:sz w:val="28"/>
          <w:szCs w:val="28"/>
        </w:rPr>
        <w:t xml:space="preserve">k dei residui attivi e passivi (esistenti al 31 dicembre 2014) </w:t>
      </w:r>
      <w:r w:rsidRPr="00F42698">
        <w:rPr>
          <w:rFonts w:ascii="Times New Roman" w:hAnsi="Times New Roman" w:cs="Times New Roman"/>
          <w:sz w:val="28"/>
          <w:szCs w:val="28"/>
        </w:rPr>
        <w:t xml:space="preserve">alla nuova configurazione del principio contabile generale della competenza finanziaria. </w:t>
      </w:r>
    </w:p>
    <w:p w14:paraId="0A85B432" w14:textId="124AA9B2" w:rsidR="00F42698" w:rsidRPr="00F42698" w:rsidRDefault="00F42698" w:rsidP="00F42698">
      <w:pPr>
        <w:spacing w:after="120" w:line="240" w:lineRule="auto"/>
        <w:jc w:val="both"/>
        <w:rPr>
          <w:rFonts w:ascii="Times New Roman" w:hAnsi="Times New Roman" w:cs="Times New Roman"/>
          <w:sz w:val="28"/>
          <w:szCs w:val="28"/>
        </w:rPr>
      </w:pPr>
      <w:r w:rsidRPr="00763468">
        <w:rPr>
          <w:rFonts w:ascii="Times New Roman" w:hAnsi="Times New Roman" w:cs="Times New Roman"/>
          <w:sz w:val="28"/>
          <w:szCs w:val="28"/>
          <w:u w:val="single"/>
        </w:rPr>
        <w:t>Sugli stanziamenti di spesa intestati ai singoli fondi pluriennali vincolati non è possibile assumere impegni ed effettuare pagamenti</w:t>
      </w:r>
      <w:r w:rsidR="008C273E">
        <w:rPr>
          <w:rFonts w:ascii="Times New Roman" w:hAnsi="Times New Roman" w:cs="Times New Roman"/>
          <w:sz w:val="28"/>
          <w:szCs w:val="28"/>
        </w:rPr>
        <w:t>, ma</w:t>
      </w:r>
      <w:r w:rsidR="00763468">
        <w:rPr>
          <w:rFonts w:ascii="Times New Roman" w:hAnsi="Times New Roman" w:cs="Times New Roman"/>
          <w:sz w:val="28"/>
          <w:szCs w:val="28"/>
        </w:rPr>
        <w:t>, per poterli utilizzare,</w:t>
      </w:r>
      <w:r w:rsidR="008C273E">
        <w:rPr>
          <w:rFonts w:ascii="Times New Roman" w:hAnsi="Times New Roman" w:cs="Times New Roman"/>
          <w:sz w:val="28"/>
          <w:szCs w:val="28"/>
        </w:rPr>
        <w:t xml:space="preserve"> occorre una previa variazione di bilancio</w:t>
      </w:r>
      <w:r w:rsidRPr="00F42698">
        <w:rPr>
          <w:rFonts w:ascii="Times New Roman" w:hAnsi="Times New Roman" w:cs="Times New Roman"/>
          <w:sz w:val="28"/>
          <w:szCs w:val="28"/>
        </w:rPr>
        <w:t>. Il fondo pluriennale risulta immediatamente utilizzabile, a seguito dell'accertamento delle entrate che lo finanzian</w:t>
      </w:r>
      <w:r w:rsidR="00763468">
        <w:rPr>
          <w:rFonts w:ascii="Times New Roman" w:hAnsi="Times New Roman" w:cs="Times New Roman"/>
          <w:sz w:val="28"/>
          <w:szCs w:val="28"/>
        </w:rPr>
        <w:t>o, ed è possibile procedere all’</w:t>
      </w:r>
      <w:r w:rsidRPr="00F42698">
        <w:rPr>
          <w:rFonts w:ascii="Times New Roman" w:hAnsi="Times New Roman" w:cs="Times New Roman"/>
          <w:sz w:val="28"/>
          <w:szCs w:val="28"/>
        </w:rPr>
        <w:t>impegno delle spese esigibili nell'esercizio in corso (la cui copertura è costituita dalle entrate accertate nel medesimo esercizio fi</w:t>
      </w:r>
      <w:r w:rsidR="00763468">
        <w:rPr>
          <w:rFonts w:ascii="Times New Roman" w:hAnsi="Times New Roman" w:cs="Times New Roman"/>
          <w:sz w:val="28"/>
          <w:szCs w:val="28"/>
        </w:rPr>
        <w:t>nanziario)</w:t>
      </w:r>
      <w:r w:rsidRPr="00F42698">
        <w:rPr>
          <w:rFonts w:ascii="Times New Roman" w:hAnsi="Times New Roman" w:cs="Times New Roman"/>
          <w:sz w:val="28"/>
          <w:szCs w:val="28"/>
        </w:rPr>
        <w:t xml:space="preserve"> e </w:t>
      </w:r>
      <w:r w:rsidR="00763468">
        <w:rPr>
          <w:rFonts w:ascii="Times New Roman" w:hAnsi="Times New Roman" w:cs="Times New Roman"/>
          <w:sz w:val="28"/>
          <w:szCs w:val="28"/>
        </w:rPr>
        <w:t xml:space="preserve">di quelle </w:t>
      </w:r>
      <w:r w:rsidRPr="00F42698">
        <w:rPr>
          <w:rFonts w:ascii="Times New Roman" w:hAnsi="Times New Roman" w:cs="Times New Roman"/>
          <w:sz w:val="28"/>
          <w:szCs w:val="28"/>
        </w:rPr>
        <w:t xml:space="preserve">esigibili </w:t>
      </w:r>
      <w:r w:rsidR="00763468">
        <w:rPr>
          <w:rFonts w:ascii="Times New Roman" w:hAnsi="Times New Roman" w:cs="Times New Roman"/>
          <w:sz w:val="28"/>
          <w:szCs w:val="28"/>
        </w:rPr>
        <w:t>in</w:t>
      </w:r>
      <w:r w:rsidRPr="00F42698">
        <w:rPr>
          <w:rFonts w:ascii="Times New Roman" w:hAnsi="Times New Roman" w:cs="Times New Roman"/>
          <w:sz w:val="28"/>
          <w:szCs w:val="28"/>
        </w:rPr>
        <w:t xml:space="preserve"> esercizi successivi (la cui copertura è effettuata dal fondo). </w:t>
      </w:r>
    </w:p>
    <w:p w14:paraId="35C5C25E" w14:textId="15D55759" w:rsidR="00F42698" w:rsidRPr="00F42698" w:rsidRDefault="00F42698" w:rsidP="00F42698">
      <w:pPr>
        <w:spacing w:after="120" w:line="240" w:lineRule="auto"/>
        <w:jc w:val="both"/>
        <w:rPr>
          <w:rFonts w:ascii="Times New Roman" w:hAnsi="Times New Roman" w:cs="Times New Roman"/>
          <w:sz w:val="28"/>
          <w:szCs w:val="28"/>
        </w:rPr>
      </w:pPr>
      <w:r w:rsidRPr="00F42698">
        <w:rPr>
          <w:rFonts w:ascii="Times New Roman" w:hAnsi="Times New Roman" w:cs="Times New Roman"/>
          <w:sz w:val="28"/>
          <w:szCs w:val="28"/>
        </w:rPr>
        <w:t>L'esigenza di rappresentare</w:t>
      </w:r>
      <w:r w:rsidR="00763468">
        <w:rPr>
          <w:rFonts w:ascii="Times New Roman" w:hAnsi="Times New Roman" w:cs="Times New Roman"/>
          <w:sz w:val="28"/>
          <w:szCs w:val="28"/>
        </w:rPr>
        <w:t>,</w:t>
      </w:r>
      <w:r w:rsidRPr="00F42698">
        <w:rPr>
          <w:rFonts w:ascii="Times New Roman" w:hAnsi="Times New Roman" w:cs="Times New Roman"/>
          <w:sz w:val="28"/>
          <w:szCs w:val="28"/>
        </w:rPr>
        <w:t xml:space="preserve"> nel bilancio di previsione</w:t>
      </w:r>
      <w:r w:rsidR="00763468">
        <w:rPr>
          <w:rFonts w:ascii="Times New Roman" w:hAnsi="Times New Roman" w:cs="Times New Roman"/>
          <w:sz w:val="28"/>
          <w:szCs w:val="28"/>
        </w:rPr>
        <w:t>,</w:t>
      </w:r>
      <w:r w:rsidRPr="00F42698">
        <w:rPr>
          <w:rFonts w:ascii="Times New Roman" w:hAnsi="Times New Roman" w:cs="Times New Roman"/>
          <w:sz w:val="28"/>
          <w:szCs w:val="28"/>
        </w:rPr>
        <w:t xml:space="preserve"> </w:t>
      </w:r>
      <w:r w:rsidR="00763468">
        <w:rPr>
          <w:rFonts w:ascii="Times New Roman" w:hAnsi="Times New Roman" w:cs="Times New Roman"/>
          <w:sz w:val="28"/>
          <w:szCs w:val="28"/>
        </w:rPr>
        <w:t xml:space="preserve">oltre alle </w:t>
      </w:r>
      <w:r w:rsidRPr="00F42698">
        <w:rPr>
          <w:rFonts w:ascii="Times New Roman" w:hAnsi="Times New Roman" w:cs="Times New Roman"/>
          <w:sz w:val="28"/>
          <w:szCs w:val="28"/>
        </w:rPr>
        <w:t xml:space="preserve">scelte operate, </w:t>
      </w:r>
      <w:r w:rsidR="00763468">
        <w:rPr>
          <w:rFonts w:ascii="Times New Roman" w:hAnsi="Times New Roman" w:cs="Times New Roman"/>
          <w:sz w:val="28"/>
          <w:szCs w:val="28"/>
        </w:rPr>
        <w:t xml:space="preserve">anche </w:t>
      </w:r>
      <w:r w:rsidRPr="00F42698">
        <w:rPr>
          <w:rFonts w:ascii="Times New Roman" w:hAnsi="Times New Roman" w:cs="Times New Roman"/>
          <w:sz w:val="28"/>
          <w:szCs w:val="28"/>
        </w:rPr>
        <w:t xml:space="preserve">i tempi di previsto impiego delle risorse acquisite è </w:t>
      </w:r>
      <w:r w:rsidR="008C273E">
        <w:rPr>
          <w:rFonts w:ascii="Times New Roman" w:hAnsi="Times New Roman" w:cs="Times New Roman"/>
          <w:sz w:val="28"/>
          <w:szCs w:val="28"/>
        </w:rPr>
        <w:t xml:space="preserve">stato ritenuto </w:t>
      </w:r>
      <w:r w:rsidR="00763468">
        <w:rPr>
          <w:rFonts w:ascii="Times New Roman" w:hAnsi="Times New Roman" w:cs="Times New Roman"/>
          <w:sz w:val="28"/>
          <w:szCs w:val="28"/>
        </w:rPr>
        <w:t xml:space="preserve">un </w:t>
      </w:r>
      <w:r w:rsidRPr="00F42698">
        <w:rPr>
          <w:rFonts w:ascii="Times New Roman" w:hAnsi="Times New Roman" w:cs="Times New Roman"/>
          <w:sz w:val="28"/>
          <w:szCs w:val="28"/>
        </w:rPr>
        <w:t>fondament</w:t>
      </w:r>
      <w:r w:rsidR="00763468">
        <w:rPr>
          <w:rFonts w:ascii="Times New Roman" w:hAnsi="Times New Roman" w:cs="Times New Roman"/>
          <w:sz w:val="28"/>
          <w:szCs w:val="28"/>
        </w:rPr>
        <w:t>o</w:t>
      </w:r>
      <w:r w:rsidRPr="00F42698">
        <w:rPr>
          <w:rFonts w:ascii="Times New Roman" w:hAnsi="Times New Roman" w:cs="Times New Roman"/>
          <w:sz w:val="28"/>
          <w:szCs w:val="28"/>
        </w:rPr>
        <w:t xml:space="preserve"> nella programmazione della spesa pubblica locale </w:t>
      </w:r>
      <w:r w:rsidR="008C273E">
        <w:rPr>
          <w:rFonts w:ascii="Times New Roman" w:hAnsi="Times New Roman" w:cs="Times New Roman"/>
          <w:sz w:val="28"/>
          <w:szCs w:val="28"/>
        </w:rPr>
        <w:t>(si pensi all’</w:t>
      </w:r>
      <w:r w:rsidRPr="00F42698">
        <w:rPr>
          <w:rFonts w:ascii="Times New Roman" w:hAnsi="Times New Roman" w:cs="Times New Roman"/>
          <w:sz w:val="28"/>
          <w:szCs w:val="28"/>
        </w:rPr>
        <w:t xml:space="preserve">indispensabilità nel caso di </w:t>
      </w:r>
      <w:r w:rsidR="006E6A91">
        <w:rPr>
          <w:rFonts w:ascii="Times New Roman" w:hAnsi="Times New Roman" w:cs="Times New Roman"/>
          <w:sz w:val="28"/>
          <w:szCs w:val="28"/>
        </w:rPr>
        <w:t xml:space="preserve">entrate da </w:t>
      </w:r>
      <w:r w:rsidRPr="00F42698">
        <w:rPr>
          <w:rFonts w:ascii="Times New Roman" w:hAnsi="Times New Roman" w:cs="Times New Roman"/>
          <w:sz w:val="28"/>
          <w:szCs w:val="28"/>
        </w:rPr>
        <w:t xml:space="preserve">indebitamento o di utilizzo di trasferimenti da altri livelli di governo). </w:t>
      </w:r>
    </w:p>
    <w:p w14:paraId="70336F3D" w14:textId="3484A5B5" w:rsidR="00F42698" w:rsidRPr="00F42698" w:rsidRDefault="008C273E" w:rsidP="00F4269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Proprio perché il fondo pluriennale vincolato costituisce strumento di copertura finanziaria delle spese impegnate, ed imputate, a esercizi successivi rispetto a quelli delle correlate entrate, il Principio applicato prevede che, nel </w:t>
      </w:r>
      <w:r w:rsidR="00F42698" w:rsidRPr="00F42698">
        <w:rPr>
          <w:rFonts w:ascii="Times New Roman" w:hAnsi="Times New Roman" w:cs="Times New Roman"/>
          <w:sz w:val="28"/>
          <w:szCs w:val="28"/>
        </w:rPr>
        <w:t>caso in cui, alla fine dell'esercizio, l</w:t>
      </w:r>
      <w:r>
        <w:rPr>
          <w:rFonts w:ascii="Times New Roman" w:hAnsi="Times New Roman" w:cs="Times New Roman"/>
          <w:sz w:val="28"/>
          <w:szCs w:val="28"/>
        </w:rPr>
        <w:t>’</w:t>
      </w:r>
      <w:r w:rsidR="00F42698" w:rsidRPr="00F42698">
        <w:rPr>
          <w:rFonts w:ascii="Times New Roman" w:hAnsi="Times New Roman" w:cs="Times New Roman"/>
          <w:sz w:val="28"/>
          <w:szCs w:val="28"/>
        </w:rPr>
        <w:t>entrata sia stata accertata</w:t>
      </w:r>
      <w:r>
        <w:rPr>
          <w:rFonts w:ascii="Times New Roman" w:hAnsi="Times New Roman" w:cs="Times New Roman"/>
          <w:sz w:val="28"/>
          <w:szCs w:val="28"/>
        </w:rPr>
        <w:t xml:space="preserve"> (imputata)</w:t>
      </w:r>
      <w:r w:rsidR="00F42698" w:rsidRPr="00F42698">
        <w:rPr>
          <w:rFonts w:ascii="Times New Roman" w:hAnsi="Times New Roman" w:cs="Times New Roman"/>
          <w:sz w:val="28"/>
          <w:szCs w:val="28"/>
        </w:rPr>
        <w:t xml:space="preserve"> o incassata </w:t>
      </w:r>
      <w:r>
        <w:rPr>
          <w:rFonts w:ascii="Times New Roman" w:hAnsi="Times New Roman" w:cs="Times New Roman"/>
          <w:sz w:val="28"/>
          <w:szCs w:val="28"/>
        </w:rPr>
        <w:t>mentre</w:t>
      </w:r>
      <w:r w:rsidR="00F42698" w:rsidRPr="00F42698">
        <w:rPr>
          <w:rFonts w:ascii="Times New Roman" w:hAnsi="Times New Roman" w:cs="Times New Roman"/>
          <w:sz w:val="28"/>
          <w:szCs w:val="28"/>
        </w:rPr>
        <w:t xml:space="preserve"> la spesa non sia stata impegnata, gli stanziamenti relativi al fondo pluriennale costituiscono </w:t>
      </w:r>
      <w:r w:rsidR="00B96ED7">
        <w:rPr>
          <w:rFonts w:ascii="Times New Roman" w:hAnsi="Times New Roman" w:cs="Times New Roman"/>
          <w:sz w:val="28"/>
          <w:szCs w:val="28"/>
        </w:rPr>
        <w:t>“</w:t>
      </w:r>
      <w:r w:rsidR="00F42698" w:rsidRPr="006E6A91">
        <w:rPr>
          <w:rFonts w:ascii="Times New Roman" w:hAnsi="Times New Roman" w:cs="Times New Roman"/>
          <w:i/>
          <w:sz w:val="28"/>
          <w:szCs w:val="28"/>
          <w:u w:val="single"/>
        </w:rPr>
        <w:t>economia di bilancio</w:t>
      </w:r>
      <w:r w:rsidR="00B96ED7">
        <w:rPr>
          <w:rFonts w:ascii="Times New Roman" w:hAnsi="Times New Roman" w:cs="Times New Roman"/>
          <w:sz w:val="28"/>
          <w:szCs w:val="28"/>
        </w:rPr>
        <w:t xml:space="preserve">”, dando </w:t>
      </w:r>
      <w:r w:rsidR="00F42698" w:rsidRPr="00F42698">
        <w:rPr>
          <w:rFonts w:ascii="Times New Roman" w:hAnsi="Times New Roman" w:cs="Times New Roman"/>
          <w:sz w:val="28"/>
          <w:szCs w:val="28"/>
        </w:rPr>
        <w:t xml:space="preserve">luogo alla formazione di una quota del risultato di amministrazione  </w:t>
      </w:r>
      <w:r w:rsidR="00B96ED7">
        <w:rPr>
          <w:rFonts w:ascii="Times New Roman" w:hAnsi="Times New Roman" w:cs="Times New Roman"/>
          <w:sz w:val="28"/>
          <w:szCs w:val="28"/>
        </w:rPr>
        <w:t>(</w:t>
      </w:r>
      <w:r w:rsidR="00F42698" w:rsidRPr="00F42698">
        <w:rPr>
          <w:rFonts w:ascii="Times New Roman" w:hAnsi="Times New Roman" w:cs="Times New Roman"/>
          <w:sz w:val="28"/>
          <w:szCs w:val="28"/>
        </w:rPr>
        <w:t xml:space="preserve">da </w:t>
      </w:r>
      <w:r w:rsidR="00B96ED7">
        <w:rPr>
          <w:rFonts w:ascii="Times New Roman" w:hAnsi="Times New Roman" w:cs="Times New Roman"/>
          <w:sz w:val="28"/>
          <w:szCs w:val="28"/>
        </w:rPr>
        <w:t xml:space="preserve">qualificare, come libera, destinata o vincolata, </w:t>
      </w:r>
      <w:r w:rsidR="00F42698" w:rsidRPr="00F42698">
        <w:rPr>
          <w:rFonts w:ascii="Times New Roman" w:hAnsi="Times New Roman" w:cs="Times New Roman"/>
          <w:sz w:val="28"/>
          <w:szCs w:val="28"/>
        </w:rPr>
        <w:t>in relazione alla tipologia di entrata accertata</w:t>
      </w:r>
      <w:r w:rsidR="00B96ED7">
        <w:rPr>
          <w:rStyle w:val="Rimandonotaapidipagina"/>
          <w:rFonts w:ascii="Times New Roman" w:hAnsi="Times New Roman" w:cs="Times New Roman"/>
          <w:sz w:val="28"/>
          <w:szCs w:val="28"/>
        </w:rPr>
        <w:footnoteReference w:id="28"/>
      </w:r>
      <w:r w:rsidR="00B96ED7">
        <w:rPr>
          <w:rFonts w:ascii="Times New Roman" w:hAnsi="Times New Roman" w:cs="Times New Roman"/>
          <w:sz w:val="28"/>
          <w:szCs w:val="28"/>
        </w:rPr>
        <w:t>)</w:t>
      </w:r>
      <w:r w:rsidR="00B96ED7">
        <w:rPr>
          <w:rStyle w:val="Rimandonotaapidipagina"/>
          <w:rFonts w:ascii="Times New Roman" w:hAnsi="Times New Roman" w:cs="Times New Roman"/>
          <w:sz w:val="28"/>
          <w:szCs w:val="28"/>
        </w:rPr>
        <w:footnoteReference w:id="29"/>
      </w:r>
      <w:r w:rsidR="00F42698" w:rsidRPr="00F42698">
        <w:rPr>
          <w:rFonts w:ascii="Times New Roman" w:hAnsi="Times New Roman" w:cs="Times New Roman"/>
          <w:sz w:val="28"/>
          <w:szCs w:val="28"/>
        </w:rPr>
        <w:t xml:space="preserve">. </w:t>
      </w:r>
    </w:p>
    <w:p w14:paraId="2059E880" w14:textId="1F202355" w:rsidR="002F4238" w:rsidRPr="006309F9" w:rsidRDefault="002F4238" w:rsidP="002F423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Come sottolineato dalla deliberazione n. 32/2015/INPR della Sezione delle Autonomie della Corte dei conti (in termini, la precedente n. 4/2015/INPR), </w:t>
      </w:r>
      <w:r w:rsidRPr="00045D08">
        <w:rPr>
          <w:rFonts w:ascii="Times New Roman" w:hAnsi="Times New Roman" w:cs="Times New Roman"/>
          <w:sz w:val="28"/>
          <w:szCs w:val="28"/>
          <w:u w:val="single"/>
        </w:rPr>
        <w:t>il fondo pluriennale vincolato si genera, di regola, solo qualora sia collegato a spese già “</w:t>
      </w:r>
      <w:r w:rsidRPr="00045D08">
        <w:rPr>
          <w:rFonts w:ascii="Times New Roman" w:hAnsi="Times New Roman" w:cs="Times New Roman"/>
          <w:i/>
          <w:sz w:val="28"/>
          <w:szCs w:val="28"/>
          <w:u w:val="single"/>
        </w:rPr>
        <w:t>impegnate</w:t>
      </w:r>
      <w:r w:rsidRPr="00045D08">
        <w:rPr>
          <w:rFonts w:ascii="Times New Roman" w:hAnsi="Times New Roman" w:cs="Times New Roman"/>
          <w:sz w:val="28"/>
          <w:szCs w:val="28"/>
          <w:u w:val="single"/>
        </w:rPr>
        <w:t>”</w:t>
      </w:r>
      <w:r w:rsidRPr="006309F9">
        <w:rPr>
          <w:rFonts w:ascii="Times New Roman" w:hAnsi="Times New Roman" w:cs="Times New Roman"/>
          <w:sz w:val="28"/>
          <w:szCs w:val="28"/>
        </w:rPr>
        <w:t xml:space="preserve"> </w:t>
      </w:r>
      <w:r>
        <w:rPr>
          <w:rFonts w:ascii="Times New Roman" w:hAnsi="Times New Roman" w:cs="Times New Roman"/>
          <w:sz w:val="28"/>
          <w:szCs w:val="28"/>
        </w:rPr>
        <w:t>(</w:t>
      </w:r>
      <w:r w:rsidRPr="006309F9">
        <w:rPr>
          <w:rFonts w:ascii="Times New Roman" w:hAnsi="Times New Roman" w:cs="Times New Roman"/>
          <w:sz w:val="28"/>
          <w:szCs w:val="28"/>
        </w:rPr>
        <w:t>ai s</w:t>
      </w:r>
      <w:r>
        <w:rPr>
          <w:rFonts w:ascii="Times New Roman" w:hAnsi="Times New Roman" w:cs="Times New Roman"/>
          <w:sz w:val="28"/>
          <w:szCs w:val="28"/>
        </w:rPr>
        <w:t xml:space="preserve">ensi dei </w:t>
      </w:r>
      <w:r w:rsidR="002A7864">
        <w:rPr>
          <w:rFonts w:ascii="Times New Roman" w:hAnsi="Times New Roman" w:cs="Times New Roman"/>
          <w:sz w:val="28"/>
          <w:szCs w:val="28"/>
        </w:rPr>
        <w:t>P</w:t>
      </w:r>
      <w:r>
        <w:rPr>
          <w:rFonts w:ascii="Times New Roman" w:hAnsi="Times New Roman" w:cs="Times New Roman"/>
          <w:sz w:val="28"/>
          <w:szCs w:val="28"/>
        </w:rPr>
        <w:t>rincipi,</w:t>
      </w:r>
      <w:r w:rsidRPr="006309F9">
        <w:rPr>
          <w:rFonts w:ascii="Times New Roman" w:hAnsi="Times New Roman" w:cs="Times New Roman"/>
          <w:sz w:val="28"/>
          <w:szCs w:val="28"/>
        </w:rPr>
        <w:t xml:space="preserve"> generale ed applicato</w:t>
      </w:r>
      <w:r w:rsidR="002A7864">
        <w:rPr>
          <w:rFonts w:ascii="Times New Roman" w:hAnsi="Times New Roman" w:cs="Times New Roman"/>
          <w:sz w:val="28"/>
          <w:szCs w:val="28"/>
        </w:rPr>
        <w:t>,</w:t>
      </w:r>
      <w:r w:rsidRPr="006309F9">
        <w:rPr>
          <w:rFonts w:ascii="Times New Roman" w:hAnsi="Times New Roman" w:cs="Times New Roman"/>
          <w:sz w:val="28"/>
          <w:szCs w:val="28"/>
        </w:rPr>
        <w:t xml:space="preserve"> della contabilità finanziaria</w:t>
      </w:r>
      <w:r>
        <w:rPr>
          <w:rFonts w:ascii="Times New Roman" w:hAnsi="Times New Roman" w:cs="Times New Roman"/>
          <w:sz w:val="28"/>
          <w:szCs w:val="28"/>
        </w:rPr>
        <w:t>,</w:t>
      </w:r>
      <w:r w:rsidRPr="006309F9">
        <w:rPr>
          <w:rFonts w:ascii="Times New Roman" w:hAnsi="Times New Roman" w:cs="Times New Roman"/>
          <w:sz w:val="28"/>
          <w:szCs w:val="28"/>
        </w:rPr>
        <w:t xml:space="preserve"> di cui al d.lgs. n. 118/2011</w:t>
      </w:r>
      <w:r>
        <w:rPr>
          <w:rFonts w:ascii="Times New Roman" w:hAnsi="Times New Roman" w:cs="Times New Roman"/>
          <w:sz w:val="28"/>
          <w:szCs w:val="28"/>
        </w:rPr>
        <w:t>). Nel caso in cui</w:t>
      </w:r>
      <w:r w:rsidRPr="006309F9">
        <w:rPr>
          <w:rFonts w:ascii="Times New Roman" w:hAnsi="Times New Roman" w:cs="Times New Roman"/>
          <w:sz w:val="28"/>
          <w:szCs w:val="28"/>
        </w:rPr>
        <w:t xml:space="preserve">, invece, </w:t>
      </w:r>
      <w:r w:rsidR="007B3EB3">
        <w:rPr>
          <w:rFonts w:ascii="Times New Roman" w:hAnsi="Times New Roman" w:cs="Times New Roman"/>
          <w:sz w:val="28"/>
          <w:szCs w:val="28"/>
        </w:rPr>
        <w:t xml:space="preserve">le </w:t>
      </w:r>
      <w:r w:rsidRPr="006309F9">
        <w:rPr>
          <w:rFonts w:ascii="Times New Roman" w:hAnsi="Times New Roman" w:cs="Times New Roman"/>
          <w:sz w:val="28"/>
          <w:szCs w:val="28"/>
        </w:rPr>
        <w:t>spese</w:t>
      </w:r>
      <w:r w:rsidR="007B3EB3">
        <w:rPr>
          <w:rFonts w:ascii="Times New Roman" w:hAnsi="Times New Roman" w:cs="Times New Roman"/>
          <w:sz w:val="28"/>
          <w:szCs w:val="28"/>
        </w:rPr>
        <w:t xml:space="preserve"> finanziate da correlate entrate</w:t>
      </w:r>
      <w:r w:rsidRPr="006309F9">
        <w:rPr>
          <w:rFonts w:ascii="Times New Roman" w:hAnsi="Times New Roman" w:cs="Times New Roman"/>
          <w:sz w:val="28"/>
          <w:szCs w:val="28"/>
        </w:rPr>
        <w:t xml:space="preserve"> </w:t>
      </w:r>
      <w:r w:rsidR="007B3EB3">
        <w:rPr>
          <w:rFonts w:ascii="Times New Roman" w:hAnsi="Times New Roman" w:cs="Times New Roman"/>
          <w:sz w:val="28"/>
          <w:szCs w:val="28"/>
        </w:rPr>
        <w:t xml:space="preserve">non possano essere impegnate per assenza del presupposto del </w:t>
      </w:r>
      <w:r w:rsidRPr="006309F9">
        <w:rPr>
          <w:rFonts w:ascii="Times New Roman" w:hAnsi="Times New Roman" w:cs="Times New Roman"/>
          <w:sz w:val="28"/>
          <w:szCs w:val="28"/>
        </w:rPr>
        <w:t>perfeziona</w:t>
      </w:r>
      <w:r w:rsidR="007B3EB3">
        <w:rPr>
          <w:rFonts w:ascii="Times New Roman" w:hAnsi="Times New Roman" w:cs="Times New Roman"/>
          <w:sz w:val="28"/>
          <w:szCs w:val="28"/>
        </w:rPr>
        <w:t xml:space="preserve">mento della </w:t>
      </w:r>
      <w:r w:rsidRPr="006309F9">
        <w:rPr>
          <w:rFonts w:ascii="Times New Roman" w:hAnsi="Times New Roman" w:cs="Times New Roman"/>
          <w:sz w:val="28"/>
          <w:szCs w:val="28"/>
        </w:rPr>
        <w:t>relativa obbligazione giuridica</w:t>
      </w:r>
      <w:r w:rsidR="007B3EB3">
        <w:rPr>
          <w:rFonts w:ascii="Times New Roman" w:hAnsi="Times New Roman" w:cs="Times New Roman"/>
          <w:sz w:val="28"/>
          <w:szCs w:val="28"/>
        </w:rPr>
        <w:t xml:space="preserve"> (per es., aggiudicazione della gara)</w:t>
      </w:r>
      <w:r w:rsidRPr="006309F9">
        <w:rPr>
          <w:rFonts w:ascii="Times New Roman" w:hAnsi="Times New Roman" w:cs="Times New Roman"/>
          <w:sz w:val="28"/>
          <w:szCs w:val="28"/>
        </w:rPr>
        <w:t xml:space="preserve">, </w:t>
      </w:r>
      <w:r w:rsidR="007B3EB3">
        <w:rPr>
          <w:rFonts w:ascii="Times New Roman" w:hAnsi="Times New Roman" w:cs="Times New Roman"/>
          <w:sz w:val="28"/>
          <w:szCs w:val="28"/>
        </w:rPr>
        <w:t xml:space="preserve">le entrate accertate </w:t>
      </w:r>
      <w:r w:rsidRPr="006309F9">
        <w:rPr>
          <w:rFonts w:ascii="Times New Roman" w:hAnsi="Times New Roman" w:cs="Times New Roman"/>
          <w:sz w:val="28"/>
          <w:szCs w:val="28"/>
        </w:rPr>
        <w:t xml:space="preserve">affluiscono </w:t>
      </w:r>
      <w:r w:rsidR="007B3EB3">
        <w:rPr>
          <w:rFonts w:ascii="Times New Roman" w:hAnsi="Times New Roman" w:cs="Times New Roman"/>
          <w:sz w:val="28"/>
          <w:szCs w:val="28"/>
        </w:rPr>
        <w:t xml:space="preserve">(quali residui attivi o cassa) </w:t>
      </w:r>
      <w:r w:rsidRPr="006309F9">
        <w:rPr>
          <w:rFonts w:ascii="Times New Roman" w:hAnsi="Times New Roman" w:cs="Times New Roman"/>
          <w:sz w:val="28"/>
          <w:szCs w:val="28"/>
        </w:rPr>
        <w:t>al risultato di amministrazione (</w:t>
      </w:r>
      <w:r w:rsidR="007B3EB3">
        <w:rPr>
          <w:rFonts w:ascii="Times New Roman" w:hAnsi="Times New Roman" w:cs="Times New Roman"/>
          <w:sz w:val="28"/>
          <w:szCs w:val="28"/>
        </w:rPr>
        <w:t xml:space="preserve">in genere, come </w:t>
      </w:r>
      <w:r w:rsidRPr="006309F9">
        <w:rPr>
          <w:rFonts w:ascii="Times New Roman" w:hAnsi="Times New Roman" w:cs="Times New Roman"/>
          <w:sz w:val="28"/>
          <w:szCs w:val="28"/>
        </w:rPr>
        <w:t>quot</w:t>
      </w:r>
      <w:r w:rsidR="007B3EB3">
        <w:rPr>
          <w:rFonts w:ascii="Times New Roman" w:hAnsi="Times New Roman" w:cs="Times New Roman"/>
          <w:sz w:val="28"/>
          <w:szCs w:val="28"/>
        </w:rPr>
        <w:t xml:space="preserve">e </w:t>
      </w:r>
      <w:r w:rsidRPr="006309F9">
        <w:rPr>
          <w:rFonts w:ascii="Times New Roman" w:hAnsi="Times New Roman" w:cs="Times New Roman"/>
          <w:sz w:val="28"/>
          <w:szCs w:val="28"/>
        </w:rPr>
        <w:t>vincolat</w:t>
      </w:r>
      <w:r w:rsidR="007B3EB3">
        <w:rPr>
          <w:rFonts w:ascii="Times New Roman" w:hAnsi="Times New Roman" w:cs="Times New Roman"/>
          <w:sz w:val="28"/>
          <w:szCs w:val="28"/>
        </w:rPr>
        <w:t>e</w:t>
      </w:r>
      <w:r w:rsidRPr="006309F9">
        <w:rPr>
          <w:rFonts w:ascii="Times New Roman" w:hAnsi="Times New Roman" w:cs="Times New Roman"/>
          <w:sz w:val="28"/>
          <w:szCs w:val="28"/>
        </w:rPr>
        <w:t xml:space="preserve"> o destinat</w:t>
      </w:r>
      <w:r w:rsidR="007B3EB3">
        <w:rPr>
          <w:rFonts w:ascii="Times New Roman" w:hAnsi="Times New Roman" w:cs="Times New Roman"/>
          <w:sz w:val="28"/>
          <w:szCs w:val="28"/>
        </w:rPr>
        <w:t>e</w:t>
      </w:r>
      <w:r w:rsidRPr="006309F9">
        <w:rPr>
          <w:rFonts w:ascii="Times New Roman" w:hAnsi="Times New Roman" w:cs="Times New Roman"/>
          <w:sz w:val="28"/>
          <w:szCs w:val="28"/>
        </w:rPr>
        <w:t xml:space="preserve">), </w:t>
      </w:r>
      <w:r w:rsidR="007B3EB3">
        <w:rPr>
          <w:rFonts w:ascii="Times New Roman" w:hAnsi="Times New Roman" w:cs="Times New Roman"/>
          <w:sz w:val="28"/>
          <w:szCs w:val="28"/>
        </w:rPr>
        <w:t>potendo generare, eventualmente, fondo pluriennale vincolato in esercizi successivi</w:t>
      </w:r>
      <w:r w:rsidR="007B3EB3">
        <w:rPr>
          <w:rStyle w:val="Rimandonotaapidipagina"/>
          <w:rFonts w:ascii="Times New Roman" w:hAnsi="Times New Roman" w:cs="Times New Roman"/>
          <w:sz w:val="28"/>
          <w:szCs w:val="28"/>
        </w:rPr>
        <w:footnoteReference w:id="30"/>
      </w:r>
      <w:r w:rsidRPr="006309F9">
        <w:rPr>
          <w:rFonts w:ascii="Times New Roman" w:hAnsi="Times New Roman" w:cs="Times New Roman"/>
          <w:sz w:val="28"/>
          <w:szCs w:val="28"/>
        </w:rPr>
        <w:t xml:space="preserve">. </w:t>
      </w:r>
    </w:p>
    <w:p w14:paraId="2AF59D04" w14:textId="7D51D7ED" w:rsidR="00171FFB" w:rsidRPr="006309F9" w:rsidRDefault="00171FFB" w:rsidP="006309F9">
      <w:pPr>
        <w:spacing w:after="120" w:line="240" w:lineRule="auto"/>
        <w:jc w:val="both"/>
        <w:rPr>
          <w:rFonts w:ascii="Times New Roman" w:hAnsi="Times New Roman" w:cs="Times New Roman"/>
          <w:sz w:val="28"/>
          <w:szCs w:val="28"/>
        </w:rPr>
      </w:pPr>
      <w:r w:rsidRPr="006309F9">
        <w:rPr>
          <w:rFonts w:ascii="Times New Roman" w:hAnsi="Times New Roman" w:cs="Times New Roman"/>
          <w:sz w:val="28"/>
          <w:szCs w:val="28"/>
        </w:rPr>
        <w:t>È di tutta evidenza l’importanza della corretta contabilizzazione del fondo pluriennale vincolato ai fini del mantenimento degli equilibri generali di bilancio</w:t>
      </w:r>
      <w:r w:rsidR="007B3EB3">
        <w:rPr>
          <w:rStyle w:val="Rimandonotaapidipagina"/>
          <w:rFonts w:ascii="Times New Roman" w:hAnsi="Times New Roman" w:cs="Times New Roman"/>
          <w:sz w:val="28"/>
          <w:szCs w:val="28"/>
        </w:rPr>
        <w:footnoteReference w:id="31"/>
      </w:r>
      <w:r w:rsidRPr="006309F9">
        <w:rPr>
          <w:rFonts w:ascii="Times New Roman" w:hAnsi="Times New Roman" w:cs="Times New Roman"/>
          <w:sz w:val="28"/>
          <w:szCs w:val="28"/>
        </w:rPr>
        <w:t xml:space="preserve">. </w:t>
      </w:r>
      <w:r w:rsidR="00BF0186">
        <w:rPr>
          <w:rFonts w:ascii="Times New Roman" w:hAnsi="Times New Roman" w:cs="Times New Roman"/>
          <w:sz w:val="28"/>
          <w:szCs w:val="28"/>
        </w:rPr>
        <w:t xml:space="preserve">In particolare, va verificato che </w:t>
      </w:r>
      <w:r w:rsidRPr="006309F9">
        <w:rPr>
          <w:rFonts w:ascii="Times New Roman" w:hAnsi="Times New Roman" w:cs="Times New Roman"/>
          <w:sz w:val="28"/>
          <w:szCs w:val="28"/>
        </w:rPr>
        <w:t xml:space="preserve">le entrate che </w:t>
      </w:r>
      <w:r w:rsidR="002A7864">
        <w:rPr>
          <w:rFonts w:ascii="Times New Roman" w:hAnsi="Times New Roman" w:cs="Times New Roman"/>
          <w:sz w:val="28"/>
          <w:szCs w:val="28"/>
        </w:rPr>
        <w:t xml:space="preserve">lo </w:t>
      </w:r>
      <w:r w:rsidRPr="006309F9">
        <w:rPr>
          <w:rFonts w:ascii="Times New Roman" w:hAnsi="Times New Roman" w:cs="Times New Roman"/>
          <w:sz w:val="28"/>
          <w:szCs w:val="28"/>
        </w:rPr>
        <w:t>alimentano siano, oltre</w:t>
      </w:r>
      <w:r w:rsidR="002A7864">
        <w:rPr>
          <w:rFonts w:ascii="Times New Roman" w:hAnsi="Times New Roman" w:cs="Times New Roman"/>
          <w:sz w:val="28"/>
          <w:szCs w:val="28"/>
        </w:rPr>
        <w:t xml:space="preserve"> che</w:t>
      </w:r>
      <w:r w:rsidRPr="006309F9">
        <w:rPr>
          <w:rFonts w:ascii="Times New Roman" w:hAnsi="Times New Roman" w:cs="Times New Roman"/>
          <w:sz w:val="28"/>
          <w:szCs w:val="28"/>
        </w:rPr>
        <w:t xml:space="preserve"> accertate, </w:t>
      </w:r>
      <w:r w:rsidR="00BF0186">
        <w:rPr>
          <w:rFonts w:ascii="Times New Roman" w:hAnsi="Times New Roman" w:cs="Times New Roman"/>
          <w:sz w:val="28"/>
          <w:szCs w:val="28"/>
        </w:rPr>
        <w:t xml:space="preserve">regolarmente </w:t>
      </w:r>
      <w:r w:rsidRPr="006309F9">
        <w:rPr>
          <w:rFonts w:ascii="Times New Roman" w:hAnsi="Times New Roman" w:cs="Times New Roman"/>
          <w:sz w:val="28"/>
          <w:szCs w:val="28"/>
        </w:rPr>
        <w:t>riscosse</w:t>
      </w:r>
      <w:r w:rsidR="00BF0186">
        <w:rPr>
          <w:rFonts w:ascii="Times New Roman" w:hAnsi="Times New Roman" w:cs="Times New Roman"/>
          <w:sz w:val="28"/>
          <w:szCs w:val="28"/>
        </w:rPr>
        <w:t xml:space="preserve">, presupposto, </w:t>
      </w:r>
      <w:r w:rsidRPr="006309F9">
        <w:rPr>
          <w:rFonts w:ascii="Times New Roman" w:hAnsi="Times New Roman" w:cs="Times New Roman"/>
          <w:sz w:val="28"/>
          <w:szCs w:val="28"/>
        </w:rPr>
        <w:t>quest’</w:t>
      </w:r>
      <w:r w:rsidR="00BF0186">
        <w:rPr>
          <w:rFonts w:ascii="Times New Roman" w:hAnsi="Times New Roman" w:cs="Times New Roman"/>
          <w:sz w:val="28"/>
          <w:szCs w:val="28"/>
        </w:rPr>
        <w:t>ultimo</w:t>
      </w:r>
      <w:r w:rsidR="002A7864">
        <w:rPr>
          <w:rFonts w:ascii="Times New Roman" w:hAnsi="Times New Roman" w:cs="Times New Roman"/>
          <w:sz w:val="28"/>
          <w:szCs w:val="28"/>
        </w:rPr>
        <w:t>, propedeutico</w:t>
      </w:r>
      <w:r w:rsidRPr="006309F9">
        <w:rPr>
          <w:rFonts w:ascii="Times New Roman" w:hAnsi="Times New Roman" w:cs="Times New Roman"/>
          <w:sz w:val="28"/>
          <w:szCs w:val="28"/>
        </w:rPr>
        <w:t xml:space="preserve"> al mantenimento</w:t>
      </w:r>
      <w:r w:rsidR="00BF0186">
        <w:rPr>
          <w:rFonts w:ascii="Times New Roman" w:hAnsi="Times New Roman" w:cs="Times New Roman"/>
          <w:sz w:val="28"/>
          <w:szCs w:val="28"/>
        </w:rPr>
        <w:t>, anche,</w:t>
      </w:r>
      <w:r w:rsidRPr="006309F9">
        <w:rPr>
          <w:rFonts w:ascii="Times New Roman" w:hAnsi="Times New Roman" w:cs="Times New Roman"/>
          <w:sz w:val="28"/>
          <w:szCs w:val="28"/>
        </w:rPr>
        <w:t xml:space="preserve"> dell’equilibrio di cassa</w:t>
      </w:r>
      <w:r w:rsidR="00BF0186">
        <w:rPr>
          <w:rStyle w:val="Rimandonotaapidipagina"/>
          <w:rFonts w:ascii="Times New Roman" w:hAnsi="Times New Roman" w:cs="Times New Roman"/>
          <w:sz w:val="28"/>
          <w:szCs w:val="28"/>
        </w:rPr>
        <w:footnoteReference w:id="32"/>
      </w:r>
      <w:r w:rsidRPr="006309F9">
        <w:rPr>
          <w:rFonts w:ascii="Times New Roman" w:hAnsi="Times New Roman" w:cs="Times New Roman"/>
          <w:sz w:val="28"/>
          <w:szCs w:val="28"/>
        </w:rPr>
        <w:t>.</w:t>
      </w:r>
    </w:p>
    <w:p w14:paraId="43CDD552" w14:textId="77777777" w:rsidR="00E858F0" w:rsidRPr="002D1A4A" w:rsidRDefault="00E858F0" w:rsidP="00E858F0">
      <w:pPr>
        <w:spacing w:after="12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Tuttavia, per facilitare il conseguimento degli obiettivi di finanza pubblica (costituiti, in precedenza, dal patto di stabilità interno e, in seguito, dal saldo di finanza pubblica</w:t>
      </w:r>
      <w:r>
        <w:rPr>
          <w:rStyle w:val="Rimandonotaapidipagina"/>
          <w:rFonts w:ascii="Times New Roman" w:hAnsi="Times New Roman" w:cs="Times New Roman"/>
          <w:sz w:val="28"/>
          <w:szCs w:val="28"/>
        </w:rPr>
        <w:footnoteReference w:id="33"/>
      </w:r>
      <w:r>
        <w:rPr>
          <w:rFonts w:ascii="Times New Roman" w:hAnsi="Times New Roman" w:cs="Times New Roman"/>
          <w:sz w:val="28"/>
          <w:szCs w:val="28"/>
        </w:rPr>
        <w:t>), il principio contabile applicato (o specifiche norme di legge) ha</w:t>
      </w:r>
      <w:r w:rsidRPr="00D57173">
        <w:rPr>
          <w:rFonts w:ascii="Times New Roman" w:hAnsi="Times New Roman" w:cs="Times New Roman"/>
          <w:sz w:val="28"/>
          <w:szCs w:val="28"/>
        </w:rPr>
        <w:t xml:space="preserve">nno consentito la creazione di fondo pluriennale vincolato per </w:t>
      </w:r>
      <w:r w:rsidRPr="00D57173">
        <w:rPr>
          <w:rFonts w:ascii="Times New Roman" w:hAnsi="Times New Roman" w:cs="Times New Roman"/>
          <w:sz w:val="28"/>
          <w:szCs w:val="28"/>
          <w:u w:val="single"/>
        </w:rPr>
        <w:t>le voci di spesa contenute nei quadri economici relative a spese di investimento per lavori pubblici</w:t>
      </w:r>
      <w:r w:rsidRPr="00D57173">
        <w:rPr>
          <w:rFonts w:ascii="Times New Roman" w:hAnsi="Times New Roman" w:cs="Times New Roman"/>
          <w:sz w:val="28"/>
          <w:szCs w:val="28"/>
        </w:rPr>
        <w:t>, esigibili in esercizi successivi, anche se non interamente impegnate (ma solo prenotate sulla base dell’avvio delle procedure di aggiudicazione o di affidamento della progettazione).</w:t>
      </w:r>
    </w:p>
    <w:p w14:paraId="289BA771" w14:textId="77777777" w:rsidR="0007358E" w:rsidRDefault="00CC2E36" w:rsidP="00E858F0">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Al fine di rivedere organicamente le plurime eccezioni introdotte nel, breve, arco temporale di vigenza dell’istituto</w:t>
      </w:r>
      <w:r w:rsidR="00AF2BCA">
        <w:rPr>
          <w:rFonts w:ascii="Times New Roman" w:hAnsi="Times New Roman" w:cs="Times New Roman"/>
          <w:sz w:val="28"/>
          <w:szCs w:val="28"/>
        </w:rPr>
        <w:t xml:space="preserve">, la </w:t>
      </w:r>
      <w:r w:rsidR="004454DC">
        <w:rPr>
          <w:rFonts w:ascii="Times New Roman" w:hAnsi="Times New Roman" w:cs="Times New Roman"/>
          <w:sz w:val="28"/>
          <w:szCs w:val="28"/>
        </w:rPr>
        <w:t xml:space="preserve">legge </w:t>
      </w:r>
      <w:r w:rsidR="00837177">
        <w:rPr>
          <w:rFonts w:ascii="Times New Roman" w:hAnsi="Times New Roman" w:cs="Times New Roman"/>
          <w:sz w:val="28"/>
          <w:szCs w:val="28"/>
        </w:rPr>
        <w:t xml:space="preserve">di bilancio per il 2019 (art. 1, commi 909 e 910, legge n. 145/2018) </w:t>
      </w:r>
      <w:r w:rsidR="00BF5513">
        <w:rPr>
          <w:rFonts w:ascii="Times New Roman" w:hAnsi="Times New Roman" w:cs="Times New Roman"/>
          <w:sz w:val="28"/>
          <w:szCs w:val="28"/>
        </w:rPr>
        <w:t xml:space="preserve">ha previsto che le </w:t>
      </w:r>
      <w:r w:rsidR="004018F3" w:rsidRPr="004018F3">
        <w:rPr>
          <w:rFonts w:ascii="Times New Roman" w:hAnsi="Times New Roman" w:cs="Times New Roman"/>
          <w:sz w:val="28"/>
          <w:szCs w:val="28"/>
        </w:rPr>
        <w:t xml:space="preserve">economie riguardanti le spese di investimento per lavori pubblici concorrono alla determinazione del fondo pluriennale secondo le modalità definite, entro il 30 aprile 2019, con </w:t>
      </w:r>
      <w:r w:rsidR="00BF5513">
        <w:rPr>
          <w:rFonts w:ascii="Times New Roman" w:hAnsi="Times New Roman" w:cs="Times New Roman"/>
          <w:sz w:val="28"/>
          <w:szCs w:val="28"/>
        </w:rPr>
        <w:t xml:space="preserve">apposito </w:t>
      </w:r>
      <w:r w:rsidR="004018F3" w:rsidRPr="004018F3">
        <w:rPr>
          <w:rFonts w:ascii="Times New Roman" w:hAnsi="Times New Roman" w:cs="Times New Roman"/>
          <w:sz w:val="28"/>
          <w:szCs w:val="28"/>
        </w:rPr>
        <w:t xml:space="preserve">decreto del Ministero dell'economia e delle finanze </w:t>
      </w:r>
      <w:r w:rsidR="00BF5513">
        <w:rPr>
          <w:rFonts w:ascii="Times New Roman" w:hAnsi="Times New Roman" w:cs="Times New Roman"/>
          <w:sz w:val="28"/>
          <w:szCs w:val="28"/>
        </w:rPr>
        <w:t>(d</w:t>
      </w:r>
      <w:r w:rsidR="001B17F8">
        <w:rPr>
          <w:rFonts w:ascii="Times New Roman" w:hAnsi="Times New Roman" w:cs="Times New Roman"/>
          <w:sz w:val="28"/>
          <w:szCs w:val="28"/>
        </w:rPr>
        <w:t>a emanare d</w:t>
      </w:r>
      <w:r w:rsidR="004018F3" w:rsidRPr="004018F3">
        <w:rPr>
          <w:rFonts w:ascii="Times New Roman" w:hAnsi="Times New Roman" w:cs="Times New Roman"/>
          <w:sz w:val="28"/>
          <w:szCs w:val="28"/>
        </w:rPr>
        <w:t>i concerto con il Ministero dell'interno e con la Presidenza del Consiglio dei ministri, su proposta della Commissione per l'armonizzazione degli enti territoriali</w:t>
      </w:r>
      <w:r w:rsidR="001E1472">
        <w:rPr>
          <w:rFonts w:ascii="Times New Roman" w:hAnsi="Times New Roman" w:cs="Times New Roman"/>
          <w:sz w:val="28"/>
          <w:szCs w:val="28"/>
        </w:rPr>
        <w:t>,</w:t>
      </w:r>
      <w:r w:rsidR="004018F3" w:rsidRPr="004018F3">
        <w:rPr>
          <w:rFonts w:ascii="Times New Roman" w:hAnsi="Times New Roman" w:cs="Times New Roman"/>
          <w:sz w:val="28"/>
          <w:szCs w:val="28"/>
        </w:rPr>
        <w:t xml:space="preserve"> di cui all'articolo 3-</w:t>
      </w:r>
      <w:r w:rsidR="004018F3" w:rsidRPr="001E1472">
        <w:rPr>
          <w:rFonts w:ascii="Times New Roman" w:hAnsi="Times New Roman" w:cs="Times New Roman"/>
          <w:i/>
          <w:iCs/>
          <w:sz w:val="28"/>
          <w:szCs w:val="28"/>
        </w:rPr>
        <w:t>bis</w:t>
      </w:r>
      <w:r w:rsidR="001E1472">
        <w:rPr>
          <w:rFonts w:ascii="Times New Roman" w:hAnsi="Times New Roman" w:cs="Times New Roman"/>
          <w:sz w:val="28"/>
          <w:szCs w:val="28"/>
        </w:rPr>
        <w:t xml:space="preserve"> del d.lgs. n. 118/2011)</w:t>
      </w:r>
      <w:r w:rsidR="0007358E">
        <w:rPr>
          <w:rFonts w:ascii="Times New Roman" w:hAnsi="Times New Roman" w:cs="Times New Roman"/>
          <w:sz w:val="28"/>
          <w:szCs w:val="28"/>
        </w:rPr>
        <w:t xml:space="preserve">. </w:t>
      </w:r>
    </w:p>
    <w:p w14:paraId="7EB6F557" w14:textId="734B23D7" w:rsidR="00247209" w:rsidRPr="00F876A1" w:rsidRDefault="0007358E" w:rsidP="00F876A1">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In esecuzione, il DM MEF 1° marzo 2019 ha </w:t>
      </w:r>
      <w:r w:rsidR="004018F3" w:rsidRPr="004018F3">
        <w:rPr>
          <w:rFonts w:ascii="Times New Roman" w:hAnsi="Times New Roman" w:cs="Times New Roman"/>
          <w:sz w:val="28"/>
          <w:szCs w:val="28"/>
        </w:rPr>
        <w:t>adegua</w:t>
      </w:r>
      <w:r>
        <w:rPr>
          <w:rFonts w:ascii="Times New Roman" w:hAnsi="Times New Roman" w:cs="Times New Roman"/>
          <w:sz w:val="28"/>
          <w:szCs w:val="28"/>
        </w:rPr>
        <w:t>to</w:t>
      </w:r>
      <w:r w:rsidR="004018F3" w:rsidRPr="004018F3">
        <w:rPr>
          <w:rFonts w:ascii="Times New Roman" w:hAnsi="Times New Roman" w:cs="Times New Roman"/>
          <w:sz w:val="28"/>
          <w:szCs w:val="28"/>
        </w:rPr>
        <w:t xml:space="preserve"> il principio contabile applicato concernente la contabilità finanziaria </w:t>
      </w:r>
      <w:r>
        <w:rPr>
          <w:rFonts w:ascii="Times New Roman" w:hAnsi="Times New Roman" w:cs="Times New Roman"/>
          <w:sz w:val="28"/>
          <w:szCs w:val="28"/>
        </w:rPr>
        <w:t>(A</w:t>
      </w:r>
      <w:r w:rsidR="004018F3" w:rsidRPr="004018F3">
        <w:rPr>
          <w:rFonts w:ascii="Times New Roman" w:hAnsi="Times New Roman" w:cs="Times New Roman"/>
          <w:sz w:val="28"/>
          <w:szCs w:val="28"/>
        </w:rPr>
        <w:t xml:space="preserve">llegato n. 4/2 </w:t>
      </w:r>
      <w:r>
        <w:rPr>
          <w:rFonts w:ascii="Times New Roman" w:hAnsi="Times New Roman" w:cs="Times New Roman"/>
          <w:sz w:val="28"/>
          <w:szCs w:val="28"/>
        </w:rPr>
        <w:t>al d.lgs. n. 118/2011)</w:t>
      </w:r>
      <w:r w:rsidR="004F0347">
        <w:rPr>
          <w:rFonts w:ascii="Times New Roman" w:hAnsi="Times New Roman" w:cs="Times New Roman"/>
          <w:sz w:val="28"/>
          <w:szCs w:val="28"/>
        </w:rPr>
        <w:t>, consentendo</w:t>
      </w:r>
      <w:r w:rsidR="00247209">
        <w:rPr>
          <w:rFonts w:ascii="Times New Roman" w:hAnsi="Times New Roman" w:cs="Times New Roman"/>
          <w:sz w:val="28"/>
          <w:szCs w:val="28"/>
        </w:rPr>
        <w:t xml:space="preserve"> il mantenimento della copertura</w:t>
      </w:r>
      <w:r w:rsidR="00F876A1">
        <w:rPr>
          <w:rFonts w:ascii="Times New Roman" w:hAnsi="Times New Roman" w:cs="Times New Roman"/>
          <w:sz w:val="28"/>
          <w:szCs w:val="28"/>
        </w:rPr>
        <w:t xml:space="preserve">, </w:t>
      </w:r>
      <w:r w:rsidR="00247209">
        <w:rPr>
          <w:rFonts w:ascii="Times New Roman" w:hAnsi="Times New Roman" w:cs="Times New Roman"/>
          <w:sz w:val="28"/>
          <w:szCs w:val="28"/>
        </w:rPr>
        <w:t>a mezzo del fondo pluriennale vincolato</w:t>
      </w:r>
      <w:r w:rsidR="00F876A1">
        <w:rPr>
          <w:rFonts w:ascii="Times New Roman" w:hAnsi="Times New Roman" w:cs="Times New Roman"/>
          <w:sz w:val="28"/>
          <w:szCs w:val="28"/>
        </w:rPr>
        <w:t>,</w:t>
      </w:r>
      <w:r w:rsidR="00BD1DF7">
        <w:rPr>
          <w:rFonts w:ascii="Times New Roman" w:hAnsi="Times New Roman" w:cs="Times New Roman"/>
          <w:sz w:val="28"/>
          <w:szCs w:val="28"/>
        </w:rPr>
        <w:t xml:space="preserve"> delle “</w:t>
      </w:r>
      <w:r w:rsidR="00247209" w:rsidRPr="00F876A1">
        <w:rPr>
          <w:rFonts w:ascii="Times New Roman" w:hAnsi="Times New Roman" w:cs="Times New Roman"/>
          <w:sz w:val="28"/>
          <w:szCs w:val="28"/>
        </w:rPr>
        <w:t>spese concernenti il livello minimo di progettazione</w:t>
      </w:r>
      <w:r w:rsidR="00BD1DF7">
        <w:rPr>
          <w:rFonts w:ascii="Times New Roman" w:hAnsi="Times New Roman" w:cs="Times New Roman"/>
          <w:sz w:val="28"/>
          <w:szCs w:val="28"/>
        </w:rPr>
        <w:t xml:space="preserve">” e delle spese </w:t>
      </w:r>
      <w:r w:rsidR="00BD1DF7" w:rsidRPr="00BD1DF7">
        <w:rPr>
          <w:rFonts w:ascii="Times New Roman" w:hAnsi="Times New Roman" w:cs="Times New Roman"/>
          <w:sz w:val="28"/>
          <w:szCs w:val="28"/>
        </w:rPr>
        <w:t>non ancora impegnate per appalti pubblici di lavori</w:t>
      </w:r>
      <w:r w:rsidR="00BD1DF7">
        <w:rPr>
          <w:rFonts w:ascii="Times New Roman" w:hAnsi="Times New Roman" w:cs="Times New Roman"/>
          <w:sz w:val="28"/>
          <w:szCs w:val="28"/>
        </w:rPr>
        <w:t xml:space="preserve"> (paragrafo 5.4.9)</w:t>
      </w:r>
      <w:r w:rsidR="00247209" w:rsidRPr="00F876A1">
        <w:rPr>
          <w:rFonts w:ascii="Times New Roman" w:hAnsi="Times New Roman" w:cs="Times New Roman"/>
          <w:sz w:val="28"/>
          <w:szCs w:val="28"/>
        </w:rPr>
        <w:t xml:space="preserve"> </w:t>
      </w:r>
    </w:p>
    <w:p w14:paraId="2DAF2B3D" w14:textId="7674352E" w:rsidR="00247209" w:rsidRDefault="00BD1DF7" w:rsidP="00BD1DF7">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Per quanto concerne le prime, il paragrafo </w:t>
      </w:r>
      <w:r w:rsidR="007F3F73">
        <w:rPr>
          <w:rFonts w:ascii="Times New Roman" w:hAnsi="Times New Roman" w:cs="Times New Roman"/>
          <w:sz w:val="28"/>
          <w:szCs w:val="28"/>
        </w:rPr>
        <w:t>5.4.8 prevede che, a</w:t>
      </w:r>
      <w:r w:rsidR="00247209" w:rsidRPr="00BD1DF7">
        <w:rPr>
          <w:rFonts w:ascii="Times New Roman" w:hAnsi="Times New Roman" w:cs="Times New Roman"/>
          <w:sz w:val="28"/>
          <w:szCs w:val="28"/>
        </w:rPr>
        <w:t xml:space="preserve">lla fine dell'esercizio, le risorse accantonate nel fondo pluriennale vincolato per il finanziamento delle spese concernenti il livello minimo di progettazione </w:t>
      </w:r>
      <w:r w:rsidR="007F3F73">
        <w:rPr>
          <w:rFonts w:ascii="Times New Roman" w:hAnsi="Times New Roman" w:cs="Times New Roman"/>
          <w:sz w:val="28"/>
          <w:szCs w:val="28"/>
        </w:rPr>
        <w:t xml:space="preserve">(se </w:t>
      </w:r>
      <w:r w:rsidR="00247209" w:rsidRPr="00BD1DF7">
        <w:rPr>
          <w:rFonts w:ascii="Times New Roman" w:hAnsi="Times New Roman" w:cs="Times New Roman"/>
          <w:sz w:val="28"/>
          <w:szCs w:val="28"/>
        </w:rPr>
        <w:t>di importo pari o superiore a quello previsto dall'articolo 36, comma 2, lett. a), del d.lgs. n. 50 del 2016</w:t>
      </w:r>
      <w:r w:rsidR="007F3F73">
        <w:rPr>
          <w:rFonts w:ascii="Times New Roman" w:hAnsi="Times New Roman" w:cs="Times New Roman"/>
          <w:sz w:val="28"/>
          <w:szCs w:val="28"/>
        </w:rPr>
        <w:t>)</w:t>
      </w:r>
      <w:r w:rsidR="00247209" w:rsidRPr="00BD1DF7">
        <w:rPr>
          <w:rFonts w:ascii="Times New Roman" w:hAnsi="Times New Roman" w:cs="Times New Roman"/>
          <w:sz w:val="28"/>
          <w:szCs w:val="28"/>
        </w:rPr>
        <w:t xml:space="preserve">, </w:t>
      </w:r>
      <w:r w:rsidR="007F3F73">
        <w:rPr>
          <w:rFonts w:ascii="Times New Roman" w:hAnsi="Times New Roman" w:cs="Times New Roman"/>
          <w:sz w:val="28"/>
          <w:szCs w:val="28"/>
        </w:rPr>
        <w:t xml:space="preserve">anche se </w:t>
      </w:r>
      <w:r w:rsidR="00247209" w:rsidRPr="00BD1DF7">
        <w:rPr>
          <w:rFonts w:ascii="Times New Roman" w:hAnsi="Times New Roman" w:cs="Times New Roman"/>
          <w:sz w:val="28"/>
          <w:szCs w:val="28"/>
        </w:rPr>
        <w:t>non ancora impegnate, possono essere conservate nel fondo pluriennale vincolato</w:t>
      </w:r>
      <w:r w:rsidR="001D4853">
        <w:rPr>
          <w:rFonts w:ascii="Times New Roman" w:hAnsi="Times New Roman" w:cs="Times New Roman"/>
          <w:sz w:val="28"/>
          <w:szCs w:val="28"/>
        </w:rPr>
        <w:t>,</w:t>
      </w:r>
      <w:r w:rsidR="00247209" w:rsidRPr="00BD1DF7">
        <w:rPr>
          <w:rFonts w:ascii="Times New Roman" w:hAnsi="Times New Roman" w:cs="Times New Roman"/>
          <w:sz w:val="28"/>
          <w:szCs w:val="28"/>
        </w:rPr>
        <w:t xml:space="preserve"> determinato in sede di rendiconto</w:t>
      </w:r>
      <w:r w:rsidR="001D4853">
        <w:rPr>
          <w:rFonts w:ascii="Times New Roman" w:hAnsi="Times New Roman" w:cs="Times New Roman"/>
          <w:sz w:val="28"/>
          <w:szCs w:val="28"/>
        </w:rPr>
        <w:t>,</w:t>
      </w:r>
      <w:r w:rsidR="00247209" w:rsidRPr="00BD1DF7">
        <w:rPr>
          <w:rFonts w:ascii="Times New Roman" w:hAnsi="Times New Roman" w:cs="Times New Roman"/>
          <w:sz w:val="28"/>
          <w:szCs w:val="28"/>
        </w:rPr>
        <w:t xml:space="preserve"> a condizione che siano state formalmente attivate le relative procedure di affidamento</w:t>
      </w:r>
      <w:r w:rsidR="001D4853">
        <w:rPr>
          <w:rFonts w:ascii="Times New Roman" w:hAnsi="Times New Roman" w:cs="Times New Roman"/>
          <w:sz w:val="28"/>
          <w:szCs w:val="28"/>
        </w:rPr>
        <w:t xml:space="preserve">. </w:t>
      </w:r>
      <w:r w:rsidR="001D4853" w:rsidRPr="00BD1DF7">
        <w:rPr>
          <w:rFonts w:ascii="Times New Roman" w:hAnsi="Times New Roman" w:cs="Times New Roman"/>
          <w:sz w:val="28"/>
          <w:szCs w:val="28"/>
        </w:rPr>
        <w:t>In assenza di aggiudicazione definitiva entro l'esercizio successivo, le risorse confluiscono nel</w:t>
      </w:r>
      <w:r w:rsidR="008A0361">
        <w:rPr>
          <w:rFonts w:ascii="Times New Roman" w:hAnsi="Times New Roman" w:cs="Times New Roman"/>
          <w:sz w:val="28"/>
          <w:szCs w:val="28"/>
        </w:rPr>
        <w:t xml:space="preserve"> risultato </w:t>
      </w:r>
      <w:r w:rsidR="001D4853" w:rsidRPr="00BD1DF7">
        <w:rPr>
          <w:rFonts w:ascii="Times New Roman" w:hAnsi="Times New Roman" w:cs="Times New Roman"/>
          <w:sz w:val="28"/>
          <w:szCs w:val="28"/>
        </w:rPr>
        <w:t>di amministrazione per la riprogrammazione dell'intervento, ed il fondo pluriennale deve essere ridotto di pari importo.</w:t>
      </w:r>
      <w:r w:rsidR="001D4853">
        <w:rPr>
          <w:rFonts w:ascii="Times New Roman" w:hAnsi="Times New Roman" w:cs="Times New Roman"/>
          <w:sz w:val="28"/>
          <w:szCs w:val="28"/>
        </w:rPr>
        <w:t xml:space="preserve"> </w:t>
      </w:r>
    </w:p>
    <w:p w14:paraId="7AC6C906" w14:textId="2AA031A4" w:rsidR="00247209" w:rsidRPr="00913C3F" w:rsidRDefault="008A0361" w:rsidP="00913C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Per quanto riguarda, invece, le seconde, il paragrafo 5.4.9</w:t>
      </w:r>
      <w:r w:rsidR="00247209" w:rsidRPr="00913C3F">
        <w:rPr>
          <w:rFonts w:ascii="Times New Roman" w:hAnsi="Times New Roman" w:cs="Times New Roman"/>
          <w:sz w:val="28"/>
          <w:szCs w:val="28"/>
        </w:rPr>
        <w:t xml:space="preserve"> </w:t>
      </w:r>
      <w:r w:rsidR="00913C3F">
        <w:rPr>
          <w:rFonts w:ascii="Times New Roman" w:hAnsi="Times New Roman" w:cs="Times New Roman"/>
          <w:sz w:val="28"/>
          <w:szCs w:val="28"/>
        </w:rPr>
        <w:t>dispone che, a</w:t>
      </w:r>
      <w:r w:rsidR="00247209" w:rsidRPr="00913C3F">
        <w:rPr>
          <w:rFonts w:ascii="Times New Roman" w:hAnsi="Times New Roman" w:cs="Times New Roman"/>
          <w:sz w:val="28"/>
          <w:szCs w:val="28"/>
        </w:rPr>
        <w:t xml:space="preserve">lla fine dell'esercizio, le risorse accantonate nel fondo pluriennale vincolato per il finanziamento di spese </w:t>
      </w:r>
      <w:bookmarkStart w:id="3" w:name="_Hlk19630419"/>
      <w:r w:rsidR="00247209" w:rsidRPr="00913C3F">
        <w:rPr>
          <w:rFonts w:ascii="Times New Roman" w:hAnsi="Times New Roman" w:cs="Times New Roman"/>
          <w:sz w:val="28"/>
          <w:szCs w:val="28"/>
        </w:rPr>
        <w:t>non ancora impegnate per appalti pubblici di lavori</w:t>
      </w:r>
      <w:bookmarkEnd w:id="3"/>
      <w:r w:rsidR="00247209" w:rsidRPr="00913C3F">
        <w:rPr>
          <w:rFonts w:ascii="Times New Roman" w:hAnsi="Times New Roman" w:cs="Times New Roman"/>
          <w:sz w:val="28"/>
          <w:szCs w:val="28"/>
        </w:rPr>
        <w:t xml:space="preserve"> </w:t>
      </w:r>
      <w:r w:rsidR="00913C3F">
        <w:rPr>
          <w:rFonts w:ascii="Times New Roman" w:hAnsi="Times New Roman" w:cs="Times New Roman"/>
          <w:sz w:val="28"/>
          <w:szCs w:val="28"/>
        </w:rPr>
        <w:t>(</w:t>
      </w:r>
      <w:r w:rsidR="00247209" w:rsidRPr="00913C3F">
        <w:rPr>
          <w:rFonts w:ascii="Times New Roman" w:hAnsi="Times New Roman" w:cs="Times New Roman"/>
          <w:sz w:val="28"/>
          <w:szCs w:val="28"/>
        </w:rPr>
        <w:t>di importo pari o superiore a quello previsto dall'articolo 36, comma 2, lett. a), del d.lgs. n. 50</w:t>
      </w:r>
      <w:r w:rsidR="00913C3F">
        <w:rPr>
          <w:rFonts w:ascii="Times New Roman" w:hAnsi="Times New Roman" w:cs="Times New Roman"/>
          <w:sz w:val="28"/>
          <w:szCs w:val="28"/>
        </w:rPr>
        <w:t>/</w:t>
      </w:r>
      <w:r w:rsidR="00247209" w:rsidRPr="00913C3F">
        <w:rPr>
          <w:rFonts w:ascii="Times New Roman" w:hAnsi="Times New Roman" w:cs="Times New Roman"/>
          <w:sz w:val="28"/>
          <w:szCs w:val="28"/>
        </w:rPr>
        <w:t>2016</w:t>
      </w:r>
      <w:r w:rsidR="00913C3F">
        <w:rPr>
          <w:rFonts w:ascii="Times New Roman" w:hAnsi="Times New Roman" w:cs="Times New Roman"/>
          <w:sz w:val="28"/>
          <w:szCs w:val="28"/>
        </w:rPr>
        <w:t>)</w:t>
      </w:r>
      <w:r w:rsidR="00247209" w:rsidRPr="00913C3F">
        <w:rPr>
          <w:rFonts w:ascii="Times New Roman" w:hAnsi="Times New Roman" w:cs="Times New Roman"/>
          <w:sz w:val="28"/>
          <w:szCs w:val="28"/>
        </w:rPr>
        <w:t xml:space="preserve">, </w:t>
      </w:r>
      <w:r w:rsidR="004434CD">
        <w:rPr>
          <w:rFonts w:ascii="Times New Roman" w:hAnsi="Times New Roman" w:cs="Times New Roman"/>
          <w:sz w:val="28"/>
          <w:szCs w:val="28"/>
        </w:rPr>
        <w:t xml:space="preserve">vanno </w:t>
      </w:r>
      <w:r w:rsidR="00247209" w:rsidRPr="00913C3F">
        <w:rPr>
          <w:rFonts w:ascii="Times New Roman" w:hAnsi="Times New Roman" w:cs="Times New Roman"/>
          <w:sz w:val="28"/>
          <w:szCs w:val="28"/>
        </w:rPr>
        <w:t>conservate nel fondo pluriennale vincolato</w:t>
      </w:r>
      <w:r w:rsidR="004434CD">
        <w:rPr>
          <w:rFonts w:ascii="Times New Roman" w:hAnsi="Times New Roman" w:cs="Times New Roman"/>
          <w:sz w:val="28"/>
          <w:szCs w:val="28"/>
        </w:rPr>
        <w:t>,</w:t>
      </w:r>
      <w:r w:rsidR="00247209" w:rsidRPr="00913C3F">
        <w:rPr>
          <w:rFonts w:ascii="Times New Roman" w:hAnsi="Times New Roman" w:cs="Times New Roman"/>
          <w:sz w:val="28"/>
          <w:szCs w:val="28"/>
        </w:rPr>
        <w:t xml:space="preserve"> determinato in sede di rendiconto</w:t>
      </w:r>
      <w:r w:rsidR="004434CD">
        <w:rPr>
          <w:rFonts w:ascii="Times New Roman" w:hAnsi="Times New Roman" w:cs="Times New Roman"/>
          <w:sz w:val="28"/>
          <w:szCs w:val="28"/>
        </w:rPr>
        <w:t>,</w:t>
      </w:r>
      <w:r w:rsidR="00247209" w:rsidRPr="00913C3F">
        <w:rPr>
          <w:rFonts w:ascii="Times New Roman" w:hAnsi="Times New Roman" w:cs="Times New Roman"/>
          <w:sz w:val="28"/>
          <w:szCs w:val="28"/>
        </w:rPr>
        <w:t xml:space="preserve"> a condizione che siano verificate le seguenti prime due condizioni, e una delle successive: </w:t>
      </w:r>
    </w:p>
    <w:p w14:paraId="371AE803" w14:textId="5E9D3758" w:rsidR="00247209" w:rsidRPr="00913C3F" w:rsidRDefault="00247209" w:rsidP="00913C3F">
      <w:pPr>
        <w:spacing w:after="120" w:line="240" w:lineRule="auto"/>
        <w:jc w:val="both"/>
        <w:rPr>
          <w:rFonts w:ascii="Times New Roman" w:hAnsi="Times New Roman" w:cs="Times New Roman"/>
          <w:sz w:val="28"/>
          <w:szCs w:val="28"/>
        </w:rPr>
      </w:pPr>
      <w:r w:rsidRPr="00913C3F">
        <w:rPr>
          <w:rFonts w:ascii="Times New Roman" w:hAnsi="Times New Roman" w:cs="Times New Roman"/>
          <w:sz w:val="28"/>
          <w:szCs w:val="28"/>
        </w:rPr>
        <w:t xml:space="preserve">a) sono state interamente accertate le entrate che costituiscono la copertura dell'intera spesa di investimento; </w:t>
      </w:r>
    </w:p>
    <w:p w14:paraId="1E43863F" w14:textId="243EA764" w:rsidR="00247209" w:rsidRPr="00913C3F" w:rsidRDefault="00247209" w:rsidP="00913C3F">
      <w:pPr>
        <w:spacing w:after="120" w:line="240" w:lineRule="auto"/>
        <w:jc w:val="both"/>
        <w:rPr>
          <w:rFonts w:ascii="Times New Roman" w:hAnsi="Times New Roman" w:cs="Times New Roman"/>
          <w:sz w:val="28"/>
          <w:szCs w:val="28"/>
        </w:rPr>
      </w:pPr>
      <w:r w:rsidRPr="00913C3F">
        <w:rPr>
          <w:rFonts w:ascii="Times New Roman" w:hAnsi="Times New Roman" w:cs="Times New Roman"/>
          <w:sz w:val="28"/>
          <w:szCs w:val="28"/>
        </w:rPr>
        <w:t xml:space="preserve">b) l'intervento cui il fondo pluriennale si riferisce risulti inserito nell'ultimo programma triennale dei lavori pubblici </w:t>
      </w:r>
      <w:r w:rsidR="003949AF">
        <w:rPr>
          <w:rFonts w:ascii="Times New Roman" w:hAnsi="Times New Roman" w:cs="Times New Roman"/>
          <w:sz w:val="28"/>
          <w:szCs w:val="28"/>
        </w:rPr>
        <w:t>(</w:t>
      </w:r>
      <w:r w:rsidRPr="00913C3F">
        <w:rPr>
          <w:rFonts w:ascii="Times New Roman" w:hAnsi="Times New Roman" w:cs="Times New Roman"/>
          <w:sz w:val="28"/>
          <w:szCs w:val="28"/>
        </w:rPr>
        <w:t xml:space="preserve">condizione </w:t>
      </w:r>
      <w:r w:rsidR="003949AF">
        <w:rPr>
          <w:rFonts w:ascii="Times New Roman" w:hAnsi="Times New Roman" w:cs="Times New Roman"/>
          <w:sz w:val="28"/>
          <w:szCs w:val="28"/>
        </w:rPr>
        <w:t xml:space="preserve">che </w:t>
      </w:r>
      <w:r w:rsidRPr="00913C3F">
        <w:rPr>
          <w:rFonts w:ascii="Times New Roman" w:hAnsi="Times New Roman" w:cs="Times New Roman"/>
          <w:sz w:val="28"/>
          <w:szCs w:val="28"/>
        </w:rPr>
        <w:t>non riguarda gli appalti pubblici di lavori di valore compreso tra 40.000 e 100.000 euro</w:t>
      </w:r>
      <w:r w:rsidR="003949AF">
        <w:rPr>
          <w:rFonts w:ascii="Times New Roman" w:hAnsi="Times New Roman" w:cs="Times New Roman"/>
          <w:sz w:val="28"/>
          <w:szCs w:val="28"/>
        </w:rPr>
        <w:t>)</w:t>
      </w:r>
      <w:r w:rsidRPr="00913C3F">
        <w:rPr>
          <w:rFonts w:ascii="Times New Roman" w:hAnsi="Times New Roman" w:cs="Times New Roman"/>
          <w:sz w:val="28"/>
          <w:szCs w:val="28"/>
        </w:rPr>
        <w:t xml:space="preserve">; </w:t>
      </w:r>
    </w:p>
    <w:p w14:paraId="1F81D97C" w14:textId="79EAC3B5" w:rsidR="00247209" w:rsidRPr="00913C3F" w:rsidRDefault="00247209" w:rsidP="00913C3F">
      <w:pPr>
        <w:spacing w:after="120" w:line="240" w:lineRule="auto"/>
        <w:jc w:val="both"/>
        <w:rPr>
          <w:rFonts w:ascii="Times New Roman" w:hAnsi="Times New Roman" w:cs="Times New Roman"/>
          <w:sz w:val="28"/>
          <w:szCs w:val="28"/>
        </w:rPr>
      </w:pPr>
      <w:r w:rsidRPr="00913C3F">
        <w:rPr>
          <w:rFonts w:ascii="Times New Roman" w:hAnsi="Times New Roman" w:cs="Times New Roman"/>
          <w:sz w:val="28"/>
          <w:szCs w:val="28"/>
        </w:rPr>
        <w:t>c) le spese previste nel quadro economico sono state impegnate, anche parzialmente, sulla base di obbligazioni giuridicamente perfezionate, imputate secondo esigibilità</w:t>
      </w:r>
      <w:r w:rsidR="003949AF">
        <w:rPr>
          <w:rFonts w:ascii="Times New Roman" w:hAnsi="Times New Roman" w:cs="Times New Roman"/>
          <w:sz w:val="28"/>
          <w:szCs w:val="28"/>
        </w:rPr>
        <w:t>,</w:t>
      </w:r>
      <w:r w:rsidRPr="00913C3F">
        <w:rPr>
          <w:rFonts w:ascii="Times New Roman" w:hAnsi="Times New Roman" w:cs="Times New Roman"/>
          <w:sz w:val="28"/>
          <w:szCs w:val="28"/>
        </w:rPr>
        <w:t xml:space="preserve"> </w:t>
      </w:r>
      <w:r w:rsidR="00994308">
        <w:rPr>
          <w:rFonts w:ascii="Times New Roman" w:hAnsi="Times New Roman" w:cs="Times New Roman"/>
          <w:sz w:val="28"/>
          <w:szCs w:val="28"/>
        </w:rPr>
        <w:t xml:space="preserve">anche solo per alcune spese (elencate dal principio applicato) </w:t>
      </w:r>
      <w:r w:rsidR="004D7EC9">
        <w:rPr>
          <w:rFonts w:ascii="Times New Roman" w:hAnsi="Times New Roman" w:cs="Times New Roman"/>
          <w:sz w:val="28"/>
          <w:szCs w:val="28"/>
        </w:rPr>
        <w:t>funzionali al</w:t>
      </w:r>
      <w:r w:rsidRPr="00913C3F">
        <w:rPr>
          <w:rFonts w:ascii="Times New Roman" w:hAnsi="Times New Roman" w:cs="Times New Roman"/>
          <w:sz w:val="28"/>
          <w:szCs w:val="28"/>
        </w:rPr>
        <w:t>l'esecuzione dell'intervento</w:t>
      </w:r>
      <w:r w:rsidR="004D7EC9">
        <w:rPr>
          <w:rFonts w:ascii="Times New Roman" w:hAnsi="Times New Roman" w:cs="Times New Roman"/>
          <w:sz w:val="28"/>
          <w:szCs w:val="28"/>
        </w:rPr>
        <w:t>;</w:t>
      </w:r>
      <w:r w:rsidRPr="00913C3F">
        <w:rPr>
          <w:rFonts w:ascii="Times New Roman" w:hAnsi="Times New Roman" w:cs="Times New Roman"/>
          <w:sz w:val="28"/>
          <w:szCs w:val="28"/>
        </w:rPr>
        <w:t xml:space="preserve"> </w:t>
      </w:r>
    </w:p>
    <w:p w14:paraId="53811F2C" w14:textId="17A40BBB" w:rsidR="00247209" w:rsidRPr="00913C3F" w:rsidRDefault="00247209" w:rsidP="00913C3F">
      <w:pPr>
        <w:spacing w:after="120" w:line="240" w:lineRule="auto"/>
        <w:jc w:val="both"/>
        <w:rPr>
          <w:rFonts w:ascii="Times New Roman" w:hAnsi="Times New Roman" w:cs="Times New Roman"/>
          <w:sz w:val="28"/>
          <w:szCs w:val="28"/>
        </w:rPr>
      </w:pPr>
      <w:r w:rsidRPr="00913C3F">
        <w:rPr>
          <w:rFonts w:ascii="Times New Roman" w:hAnsi="Times New Roman" w:cs="Times New Roman"/>
          <w:sz w:val="28"/>
          <w:szCs w:val="28"/>
        </w:rPr>
        <w:t>d) sono state formalmente attivate le procedure di affidamento dei livelli di progettazione successivi al minimo</w:t>
      </w:r>
      <w:r w:rsidR="00742698">
        <w:rPr>
          <w:rFonts w:ascii="Times New Roman" w:hAnsi="Times New Roman" w:cs="Times New Roman"/>
          <w:sz w:val="28"/>
          <w:szCs w:val="28"/>
        </w:rPr>
        <w:t>;</w:t>
      </w:r>
      <w:r w:rsidRPr="00913C3F">
        <w:rPr>
          <w:rFonts w:ascii="Times New Roman" w:hAnsi="Times New Roman" w:cs="Times New Roman"/>
          <w:sz w:val="28"/>
          <w:szCs w:val="28"/>
        </w:rPr>
        <w:t xml:space="preserve"> </w:t>
      </w:r>
    </w:p>
    <w:p w14:paraId="7C091686" w14:textId="611D0056" w:rsidR="00913C3F" w:rsidRPr="00913C3F" w:rsidRDefault="00247209" w:rsidP="00913C3F">
      <w:pPr>
        <w:spacing w:after="120" w:line="240" w:lineRule="auto"/>
        <w:jc w:val="both"/>
        <w:rPr>
          <w:rFonts w:ascii="Times New Roman" w:hAnsi="Times New Roman" w:cs="Times New Roman"/>
          <w:sz w:val="28"/>
          <w:szCs w:val="28"/>
        </w:rPr>
      </w:pPr>
      <w:r w:rsidRPr="00913C3F">
        <w:rPr>
          <w:rFonts w:ascii="Times New Roman" w:hAnsi="Times New Roman" w:cs="Times New Roman"/>
          <w:sz w:val="28"/>
          <w:szCs w:val="28"/>
        </w:rPr>
        <w:t>e) entro l'esercizio successivo alla validazione del progetto destinato ad essere posto a base della gara, sono state formalmente attivate le procedure di affidamento</w:t>
      </w:r>
      <w:r w:rsidR="00742698">
        <w:rPr>
          <w:rFonts w:ascii="Times New Roman" w:hAnsi="Times New Roman" w:cs="Times New Roman"/>
          <w:sz w:val="28"/>
          <w:szCs w:val="28"/>
        </w:rPr>
        <w:t>.</w:t>
      </w:r>
      <w:r w:rsidRPr="00913C3F">
        <w:rPr>
          <w:rFonts w:ascii="Times New Roman" w:hAnsi="Times New Roman" w:cs="Times New Roman"/>
          <w:sz w:val="28"/>
          <w:szCs w:val="28"/>
        </w:rPr>
        <w:t xml:space="preserve"> </w:t>
      </w:r>
    </w:p>
    <w:p w14:paraId="37FCCFB5" w14:textId="6927C545" w:rsidR="00247209" w:rsidRPr="007E2221" w:rsidRDefault="007E2221" w:rsidP="007E2221">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Anche in questo caso, i</w:t>
      </w:r>
      <w:r w:rsidR="00247209" w:rsidRPr="007E2221">
        <w:rPr>
          <w:rFonts w:ascii="Times New Roman" w:hAnsi="Times New Roman" w:cs="Times New Roman"/>
          <w:sz w:val="28"/>
          <w:szCs w:val="28"/>
        </w:rPr>
        <w:t>n assenza di aggiudicazione definitiva delle procedure entro l'esercizio successivo, le risorse accertate ma non ancora impegnate, cui il fondo pluriennale si riferisce, confluiscono nel</w:t>
      </w:r>
      <w:r>
        <w:rPr>
          <w:rFonts w:ascii="Times New Roman" w:hAnsi="Times New Roman" w:cs="Times New Roman"/>
          <w:sz w:val="28"/>
          <w:szCs w:val="28"/>
        </w:rPr>
        <w:t xml:space="preserve"> risultato </w:t>
      </w:r>
      <w:r w:rsidR="00247209" w:rsidRPr="007E2221">
        <w:rPr>
          <w:rFonts w:ascii="Times New Roman" w:hAnsi="Times New Roman" w:cs="Times New Roman"/>
          <w:sz w:val="28"/>
          <w:szCs w:val="28"/>
        </w:rPr>
        <w:t>di amministrazione per la riprogrammazione dell'intervento ed il fondo pluriennale deve essere ridotto di pari importo</w:t>
      </w:r>
      <w:r w:rsidR="00EF75FB">
        <w:rPr>
          <w:rStyle w:val="Rimandonotaapidipagina"/>
          <w:rFonts w:ascii="Times New Roman" w:hAnsi="Times New Roman" w:cs="Times New Roman"/>
          <w:sz w:val="28"/>
          <w:szCs w:val="28"/>
        </w:rPr>
        <w:footnoteReference w:id="34"/>
      </w:r>
      <w:r w:rsidR="00247209" w:rsidRPr="007E2221">
        <w:rPr>
          <w:rFonts w:ascii="Times New Roman" w:hAnsi="Times New Roman" w:cs="Times New Roman"/>
          <w:sz w:val="28"/>
          <w:szCs w:val="28"/>
        </w:rPr>
        <w:t xml:space="preserve">. </w:t>
      </w:r>
    </w:p>
    <w:p w14:paraId="0F330CDF" w14:textId="77777777" w:rsidR="0028307E" w:rsidRPr="006309F9" w:rsidRDefault="0028307E" w:rsidP="006309F9">
      <w:pPr>
        <w:spacing w:after="120" w:line="240" w:lineRule="auto"/>
        <w:jc w:val="both"/>
        <w:rPr>
          <w:rFonts w:ascii="Times New Roman" w:hAnsi="Times New Roman" w:cs="Times New Roman"/>
          <w:sz w:val="28"/>
          <w:szCs w:val="28"/>
        </w:rPr>
      </w:pPr>
    </w:p>
    <w:p w14:paraId="0881EC58" w14:textId="1D67A3CF" w:rsidR="00110AFC" w:rsidRPr="006309F9" w:rsidRDefault="00FF4D84" w:rsidP="00970E2C">
      <w:pPr>
        <w:pStyle w:val="Titolo2"/>
      </w:pPr>
      <w:bookmarkStart w:id="4" w:name="_Toc1148497"/>
      <w:r>
        <w:t>1</w:t>
      </w:r>
      <w:r w:rsidR="0028307E" w:rsidRPr="006309F9">
        <w:t xml:space="preserve">.2 </w:t>
      </w:r>
      <w:r w:rsidR="00110AFC" w:rsidRPr="006309F9">
        <w:t>Il fondo crediti di dubbia esigibilità</w:t>
      </w:r>
      <w:bookmarkEnd w:id="4"/>
    </w:p>
    <w:p w14:paraId="651CD97E" w14:textId="7F1ED237" w:rsidR="004C5BF6"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L’art. 167 del d.lgs. 267/2000</w:t>
      </w:r>
      <w:r w:rsidR="004C5BF6">
        <w:rPr>
          <w:rStyle w:val="Rimandonotaapidipagina"/>
          <w:rFonts w:ascii="Times New Roman" w:hAnsi="Times New Roman" w:cs="Times New Roman"/>
          <w:sz w:val="28"/>
          <w:szCs w:val="28"/>
        </w:rPr>
        <w:footnoteReference w:id="35"/>
      </w:r>
      <w:r w:rsidRPr="006309F9">
        <w:rPr>
          <w:rFonts w:ascii="Times New Roman" w:hAnsi="Times New Roman" w:cs="Times New Roman"/>
          <w:sz w:val="28"/>
          <w:szCs w:val="28"/>
        </w:rPr>
        <w:t xml:space="preserve"> dispone che, nella missione "</w:t>
      </w:r>
      <w:r w:rsidRPr="004C5BF6">
        <w:rPr>
          <w:rFonts w:ascii="Times New Roman" w:hAnsi="Times New Roman" w:cs="Times New Roman"/>
          <w:i/>
          <w:sz w:val="28"/>
          <w:szCs w:val="28"/>
        </w:rPr>
        <w:t>Fondi e Accantonamenti</w:t>
      </w:r>
      <w:r w:rsidR="002A7864">
        <w:rPr>
          <w:rFonts w:ascii="Times New Roman" w:hAnsi="Times New Roman" w:cs="Times New Roman"/>
          <w:sz w:val="28"/>
          <w:szCs w:val="28"/>
        </w:rPr>
        <w:t>" del bilancio di previsione</w:t>
      </w:r>
      <w:r w:rsidRPr="006309F9">
        <w:rPr>
          <w:rFonts w:ascii="Times New Roman" w:hAnsi="Times New Roman" w:cs="Times New Roman"/>
          <w:sz w:val="28"/>
          <w:szCs w:val="28"/>
        </w:rPr>
        <w:t>, all'interno del programma "</w:t>
      </w:r>
      <w:r w:rsidRPr="004C5BF6">
        <w:rPr>
          <w:rFonts w:ascii="Times New Roman" w:hAnsi="Times New Roman" w:cs="Times New Roman"/>
          <w:i/>
          <w:sz w:val="28"/>
          <w:szCs w:val="28"/>
        </w:rPr>
        <w:t>Fondo crediti di dubbia esigibilità</w:t>
      </w:r>
      <w:r w:rsidRPr="006309F9">
        <w:rPr>
          <w:rFonts w:ascii="Times New Roman" w:hAnsi="Times New Roman" w:cs="Times New Roman"/>
          <w:sz w:val="28"/>
          <w:szCs w:val="28"/>
        </w:rPr>
        <w:t xml:space="preserve">", </w:t>
      </w:r>
      <w:r w:rsidRPr="00045D08">
        <w:rPr>
          <w:rFonts w:ascii="Times New Roman" w:hAnsi="Times New Roman" w:cs="Times New Roman"/>
          <w:sz w:val="28"/>
          <w:szCs w:val="28"/>
          <w:u w:val="single"/>
        </w:rPr>
        <w:t>deve essere stanziato un accantonamento, il cui ammontare va determinato in considerazione dell'importo delle entrate (accertamenti di competenza) di dubbia e difficile esazione</w:t>
      </w:r>
      <w:r w:rsidRPr="006309F9">
        <w:rPr>
          <w:rFonts w:ascii="Times New Roman" w:hAnsi="Times New Roman" w:cs="Times New Roman"/>
          <w:sz w:val="28"/>
          <w:szCs w:val="28"/>
        </w:rPr>
        <w:t xml:space="preserve">, seguendo le modalità indicate nel Principio applicato della contabilità finanziaria (Allegato n. 4/2 al d.lgs. 118/2011, paragrafo 3.3 ed esempio n. 5). </w:t>
      </w:r>
    </w:p>
    <w:p w14:paraId="1BAA8C33" w14:textId="287C7E0C" w:rsidR="004C5BF6"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 xml:space="preserve">Il comma 2 della ridetta disposizione prescrive, inoltre, che, </w:t>
      </w:r>
      <w:r w:rsidR="002A7864" w:rsidRPr="00045D08">
        <w:rPr>
          <w:rFonts w:ascii="Times New Roman" w:hAnsi="Times New Roman" w:cs="Times New Roman"/>
          <w:sz w:val="28"/>
          <w:szCs w:val="28"/>
          <w:u w:val="single"/>
        </w:rPr>
        <w:t xml:space="preserve">anche </w:t>
      </w:r>
      <w:r w:rsidRPr="00045D08">
        <w:rPr>
          <w:rFonts w:ascii="Times New Roman" w:hAnsi="Times New Roman" w:cs="Times New Roman"/>
          <w:sz w:val="28"/>
          <w:szCs w:val="28"/>
          <w:u w:val="single"/>
        </w:rPr>
        <w:t>in sede di rendiconto, una quota del risultato di amministrazione deve essere accantonata a fondo crediti di dubbia esigibilità</w:t>
      </w:r>
      <w:r w:rsidRPr="006309F9">
        <w:rPr>
          <w:rFonts w:ascii="Times New Roman" w:hAnsi="Times New Roman" w:cs="Times New Roman"/>
          <w:sz w:val="28"/>
          <w:szCs w:val="28"/>
        </w:rPr>
        <w:t xml:space="preserve">, con ammontare parametrato, questa volta, all'ammontare dei crediti (residui passivi) di dubbia e difficile esazione (e sempre seguendo i </w:t>
      </w:r>
      <w:r w:rsidR="004C5BF6">
        <w:rPr>
          <w:rFonts w:ascii="Times New Roman" w:hAnsi="Times New Roman" w:cs="Times New Roman"/>
          <w:sz w:val="28"/>
          <w:szCs w:val="28"/>
        </w:rPr>
        <w:t>criteri indicati nell’Allegato</w:t>
      </w:r>
      <w:r w:rsidRPr="006309F9">
        <w:rPr>
          <w:rFonts w:ascii="Times New Roman" w:hAnsi="Times New Roman" w:cs="Times New Roman"/>
          <w:sz w:val="28"/>
          <w:szCs w:val="28"/>
        </w:rPr>
        <w:t xml:space="preserve"> n. 4/2 al d.lgs. 118/2011). </w:t>
      </w:r>
    </w:p>
    <w:p w14:paraId="1E5BFF61" w14:textId="76F72945" w:rsidR="00110AFC" w:rsidRPr="006309F9"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 xml:space="preserve">Con l’introduzione del nuovo sistema contabile, infatti, anche le entrate di dubbia e difficile esazione (quali sanzioni amministrative al codice della strada, oneri di urbanizzazione, proventi derivanti dalla lotta all’evasione fiscale, etc.) vanno accertate per l’intero importo </w:t>
      </w:r>
      <w:r w:rsidR="004C5BF6">
        <w:rPr>
          <w:rFonts w:ascii="Times New Roman" w:hAnsi="Times New Roman" w:cs="Times New Roman"/>
          <w:sz w:val="28"/>
          <w:szCs w:val="28"/>
        </w:rPr>
        <w:t xml:space="preserve">stimato </w:t>
      </w:r>
      <w:r w:rsidRPr="006309F9">
        <w:rPr>
          <w:rFonts w:ascii="Times New Roman" w:hAnsi="Times New Roman" w:cs="Times New Roman"/>
          <w:sz w:val="28"/>
          <w:szCs w:val="28"/>
        </w:rPr>
        <w:t>del credito. Tuttavia, per tali accertamenti</w:t>
      </w:r>
      <w:r w:rsidR="002D577C">
        <w:rPr>
          <w:rFonts w:ascii="Times New Roman" w:hAnsi="Times New Roman" w:cs="Times New Roman"/>
          <w:sz w:val="28"/>
          <w:szCs w:val="28"/>
        </w:rPr>
        <w:t>,</w:t>
      </w:r>
      <w:r w:rsidRPr="006309F9">
        <w:rPr>
          <w:rFonts w:ascii="Times New Roman" w:hAnsi="Times New Roman" w:cs="Times New Roman"/>
          <w:sz w:val="28"/>
          <w:szCs w:val="28"/>
        </w:rPr>
        <w:t xml:space="preserve"> va effettuato, all’interno del bilancio di previsione, un accantonamento al fondo crediti di dubbia esigibilità, e, a fine esercizio, va creato un “vincolo” nel</w:t>
      </w:r>
      <w:r w:rsidR="004C5BF6">
        <w:rPr>
          <w:rFonts w:ascii="Times New Roman" w:hAnsi="Times New Roman" w:cs="Times New Roman"/>
          <w:sz w:val="28"/>
          <w:szCs w:val="28"/>
        </w:rPr>
        <w:t xml:space="preserve"> risultato d</w:t>
      </w:r>
      <w:r w:rsidRPr="006309F9">
        <w:rPr>
          <w:rFonts w:ascii="Times New Roman" w:hAnsi="Times New Roman" w:cs="Times New Roman"/>
          <w:sz w:val="28"/>
          <w:szCs w:val="28"/>
        </w:rPr>
        <w:t>i amministrazione.</w:t>
      </w:r>
    </w:p>
    <w:p w14:paraId="4A60E243" w14:textId="15365C8D" w:rsidR="00110AFC" w:rsidRPr="006309F9" w:rsidRDefault="00110AFC" w:rsidP="006309F9">
      <w:pPr>
        <w:pStyle w:val="Corpotesto"/>
        <w:spacing w:before="0" w:after="120"/>
        <w:jc w:val="both"/>
        <w:rPr>
          <w:rFonts w:ascii="Times New Roman" w:hAnsi="Times New Roman" w:cs="Times New Roman"/>
          <w:sz w:val="28"/>
          <w:szCs w:val="28"/>
        </w:rPr>
      </w:pPr>
      <w:r w:rsidRPr="00045D08">
        <w:rPr>
          <w:rFonts w:ascii="Times New Roman" w:hAnsi="Times New Roman" w:cs="Times New Roman"/>
          <w:sz w:val="28"/>
          <w:szCs w:val="28"/>
          <w:u w:val="single"/>
        </w:rPr>
        <w:t>Il FCDE costituisce, pertanto, un fondo rischi finalizzato a tutelare gli equilibri</w:t>
      </w:r>
      <w:r w:rsidR="002D577C" w:rsidRPr="00045D08">
        <w:rPr>
          <w:rFonts w:ascii="Times New Roman" w:hAnsi="Times New Roman" w:cs="Times New Roman"/>
          <w:sz w:val="28"/>
          <w:szCs w:val="28"/>
          <w:u w:val="single"/>
        </w:rPr>
        <w:t xml:space="preserve"> di bilancio</w:t>
      </w:r>
      <w:r w:rsidRPr="00045D08">
        <w:rPr>
          <w:rFonts w:ascii="Times New Roman" w:hAnsi="Times New Roman" w:cs="Times New Roman"/>
          <w:sz w:val="28"/>
          <w:szCs w:val="28"/>
          <w:u w:val="single"/>
        </w:rPr>
        <w:t xml:space="preserve">, in particolare futuri, dell’ente </w:t>
      </w:r>
      <w:r w:rsidR="004C5BF6" w:rsidRPr="00045D08">
        <w:rPr>
          <w:rFonts w:ascii="Times New Roman" w:hAnsi="Times New Roman" w:cs="Times New Roman"/>
          <w:sz w:val="28"/>
          <w:szCs w:val="28"/>
          <w:u w:val="single"/>
        </w:rPr>
        <w:t>territoriale</w:t>
      </w:r>
      <w:r w:rsidRPr="006309F9">
        <w:rPr>
          <w:rFonts w:ascii="Times New Roman" w:hAnsi="Times New Roman" w:cs="Times New Roman"/>
          <w:sz w:val="28"/>
          <w:szCs w:val="28"/>
        </w:rPr>
        <w:t>, impedendo la copertura di impegni di spesa (e, soprattutto, del successivo pagamento) mediante l’accertamento di entrate di dubbia esigibilità (che, in quanto tali, rischiano di generare solo residui attivi e non cassa). L’adeguata quantificazione di detto fondo condiziona, in particolare, la veridicità del risultato di amministrazione, preservando l’ente da potenziali squilibri di cassa, allorché sia utilizzato</w:t>
      </w:r>
      <w:r w:rsidR="004C5BF6">
        <w:rPr>
          <w:rFonts w:ascii="Times New Roman" w:hAnsi="Times New Roman" w:cs="Times New Roman"/>
          <w:sz w:val="28"/>
          <w:szCs w:val="28"/>
        </w:rPr>
        <w:t>, a copertura di spese future,</w:t>
      </w:r>
      <w:r w:rsidRPr="006309F9">
        <w:rPr>
          <w:rFonts w:ascii="Times New Roman" w:hAnsi="Times New Roman" w:cs="Times New Roman"/>
          <w:sz w:val="28"/>
          <w:szCs w:val="28"/>
        </w:rPr>
        <w:t xml:space="preserve"> avanzo libero, in realtà </w:t>
      </w:r>
      <w:r w:rsidR="004C5BF6">
        <w:rPr>
          <w:rFonts w:ascii="Times New Roman" w:hAnsi="Times New Roman" w:cs="Times New Roman"/>
          <w:sz w:val="28"/>
          <w:szCs w:val="28"/>
        </w:rPr>
        <w:t>costituito</w:t>
      </w:r>
      <w:r w:rsidRPr="006309F9">
        <w:rPr>
          <w:rFonts w:ascii="Times New Roman" w:hAnsi="Times New Roman" w:cs="Times New Roman"/>
          <w:sz w:val="28"/>
          <w:szCs w:val="28"/>
        </w:rPr>
        <w:t xml:space="preserve"> </w:t>
      </w:r>
      <w:r w:rsidR="004C5BF6">
        <w:rPr>
          <w:rFonts w:ascii="Times New Roman" w:hAnsi="Times New Roman" w:cs="Times New Roman"/>
          <w:sz w:val="28"/>
          <w:szCs w:val="28"/>
        </w:rPr>
        <w:t xml:space="preserve">da </w:t>
      </w:r>
      <w:r w:rsidRPr="006309F9">
        <w:rPr>
          <w:rFonts w:ascii="Times New Roman" w:hAnsi="Times New Roman" w:cs="Times New Roman"/>
          <w:sz w:val="28"/>
          <w:szCs w:val="28"/>
        </w:rPr>
        <w:t>residui attivi non esigibili</w:t>
      </w:r>
      <w:r w:rsidRPr="006309F9">
        <w:rPr>
          <w:rStyle w:val="Rimandonotaapidipagina"/>
          <w:rFonts w:ascii="Times New Roman" w:hAnsi="Times New Roman" w:cs="Times New Roman"/>
          <w:bCs/>
          <w:sz w:val="28"/>
          <w:szCs w:val="28"/>
        </w:rPr>
        <w:footnoteReference w:id="36"/>
      </w:r>
      <w:r w:rsidRPr="006309F9">
        <w:rPr>
          <w:rFonts w:ascii="Times New Roman" w:hAnsi="Times New Roman" w:cs="Times New Roman"/>
          <w:sz w:val="28"/>
          <w:szCs w:val="28"/>
        </w:rPr>
        <w:t>.</w:t>
      </w:r>
    </w:p>
    <w:p w14:paraId="58EFC202" w14:textId="77777777" w:rsidR="002D577C" w:rsidRDefault="004C5BF6"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La Sezione delle Autonomie della Corte dei conti, con le deliberazioni n. 4/2015/INPR, n</w:t>
      </w:r>
      <w:r w:rsidR="00171FFB" w:rsidRPr="006309F9">
        <w:rPr>
          <w:rFonts w:ascii="Times New Roman" w:hAnsi="Times New Roman" w:cs="Times New Roman"/>
          <w:sz w:val="28"/>
          <w:szCs w:val="28"/>
        </w:rPr>
        <w:t>. 32/2015</w:t>
      </w:r>
      <w:r>
        <w:rPr>
          <w:rFonts w:ascii="Times New Roman" w:hAnsi="Times New Roman" w:cs="Times New Roman"/>
          <w:sz w:val="28"/>
          <w:szCs w:val="28"/>
        </w:rPr>
        <w:t xml:space="preserve">/INPR e n. </w:t>
      </w:r>
      <w:r w:rsidR="0065352F" w:rsidRPr="006309F9">
        <w:rPr>
          <w:rFonts w:ascii="Times New Roman" w:hAnsi="Times New Roman" w:cs="Times New Roman"/>
          <w:sz w:val="28"/>
          <w:szCs w:val="28"/>
        </w:rPr>
        <w:t>9/2016</w:t>
      </w:r>
      <w:r>
        <w:rPr>
          <w:rFonts w:ascii="Times New Roman" w:hAnsi="Times New Roman" w:cs="Times New Roman"/>
          <w:sz w:val="28"/>
          <w:szCs w:val="28"/>
        </w:rPr>
        <w:t xml:space="preserve">/INPR, ha avuto modo di fornire delle importanti coordinate interpretative, in particolare nella fase </w:t>
      </w:r>
      <w:r w:rsidR="00E374D8">
        <w:rPr>
          <w:rFonts w:ascii="Times New Roman" w:hAnsi="Times New Roman" w:cs="Times New Roman"/>
          <w:sz w:val="28"/>
          <w:szCs w:val="28"/>
        </w:rPr>
        <w:t>di avvio del nuovo sistema di contabilità c.d. armonizzata.</w:t>
      </w:r>
      <w:r w:rsidR="002D577C">
        <w:rPr>
          <w:rFonts w:ascii="Times New Roman" w:hAnsi="Times New Roman" w:cs="Times New Roman"/>
          <w:sz w:val="28"/>
          <w:szCs w:val="28"/>
        </w:rPr>
        <w:t xml:space="preserve"> </w:t>
      </w:r>
    </w:p>
    <w:p w14:paraId="7515E78E" w14:textId="3B49CC79" w:rsidR="00171FFB" w:rsidRPr="006309F9" w:rsidRDefault="00E374D8"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Infatti, u</w:t>
      </w:r>
      <w:r w:rsidR="00171FFB" w:rsidRPr="006309F9">
        <w:rPr>
          <w:rFonts w:ascii="Times New Roman" w:hAnsi="Times New Roman" w:cs="Times New Roman"/>
          <w:sz w:val="28"/>
          <w:szCs w:val="28"/>
        </w:rPr>
        <w:t>no degli elementi di maggiore rilevanza nella determinazione del risultato di amministrazione al 1° gennaio 2015</w:t>
      </w:r>
      <w:r>
        <w:rPr>
          <w:rFonts w:ascii="Times New Roman" w:hAnsi="Times New Roman" w:cs="Times New Roman"/>
          <w:sz w:val="28"/>
          <w:szCs w:val="28"/>
        </w:rPr>
        <w:t xml:space="preserve">, a seguito dell’operazione di riaccertamento straordinario dei residui attivi e passivi, </w:t>
      </w:r>
      <w:r w:rsidR="00171FFB" w:rsidRPr="006309F9">
        <w:rPr>
          <w:rFonts w:ascii="Times New Roman" w:hAnsi="Times New Roman" w:cs="Times New Roman"/>
          <w:sz w:val="28"/>
          <w:szCs w:val="28"/>
        </w:rPr>
        <w:t xml:space="preserve">è </w:t>
      </w:r>
      <w:r>
        <w:rPr>
          <w:rFonts w:ascii="Times New Roman" w:hAnsi="Times New Roman" w:cs="Times New Roman"/>
          <w:sz w:val="28"/>
          <w:szCs w:val="28"/>
        </w:rPr>
        <w:t xml:space="preserve">stato </w:t>
      </w:r>
      <w:r w:rsidR="00171FFB" w:rsidRPr="006309F9">
        <w:rPr>
          <w:rFonts w:ascii="Times New Roman" w:hAnsi="Times New Roman" w:cs="Times New Roman"/>
          <w:sz w:val="28"/>
          <w:szCs w:val="28"/>
        </w:rPr>
        <w:t>la corretta determinazione del</w:t>
      </w:r>
      <w:r>
        <w:rPr>
          <w:rFonts w:ascii="Times New Roman" w:hAnsi="Times New Roman" w:cs="Times New Roman"/>
          <w:sz w:val="28"/>
          <w:szCs w:val="28"/>
        </w:rPr>
        <w:t xml:space="preserve">la quota accantonata a </w:t>
      </w:r>
      <w:r w:rsidR="00171FFB" w:rsidRPr="006309F9">
        <w:rPr>
          <w:rFonts w:ascii="Times New Roman" w:hAnsi="Times New Roman" w:cs="Times New Roman"/>
          <w:sz w:val="28"/>
          <w:szCs w:val="28"/>
        </w:rPr>
        <w:t>“</w:t>
      </w:r>
      <w:r w:rsidR="00171FFB" w:rsidRPr="00E374D8">
        <w:rPr>
          <w:rFonts w:ascii="Times New Roman" w:hAnsi="Times New Roman" w:cs="Times New Roman"/>
          <w:i/>
          <w:sz w:val="28"/>
          <w:szCs w:val="28"/>
        </w:rPr>
        <w:t>fondo crediti di dubbia esigibilità</w:t>
      </w:r>
      <w:r w:rsidR="00171FFB" w:rsidRPr="006309F9">
        <w:rPr>
          <w:rFonts w:ascii="Times New Roman" w:hAnsi="Times New Roman" w:cs="Times New Roman"/>
          <w:sz w:val="28"/>
          <w:szCs w:val="28"/>
        </w:rPr>
        <w:t xml:space="preserve">”, </w:t>
      </w:r>
      <w:r>
        <w:rPr>
          <w:rFonts w:ascii="Times New Roman" w:hAnsi="Times New Roman" w:cs="Times New Roman"/>
          <w:sz w:val="28"/>
          <w:szCs w:val="28"/>
        </w:rPr>
        <w:t xml:space="preserve">avente la funzione, similare a quella di un </w:t>
      </w:r>
      <w:r w:rsidR="00171FFB" w:rsidRPr="006309F9">
        <w:rPr>
          <w:rFonts w:ascii="Times New Roman" w:hAnsi="Times New Roman" w:cs="Times New Roman"/>
          <w:sz w:val="28"/>
          <w:szCs w:val="28"/>
        </w:rPr>
        <w:t>fondo rischi</w:t>
      </w:r>
      <w:r>
        <w:rPr>
          <w:rFonts w:ascii="Times New Roman" w:hAnsi="Times New Roman" w:cs="Times New Roman"/>
          <w:sz w:val="28"/>
          <w:szCs w:val="28"/>
        </w:rPr>
        <w:t xml:space="preserve">, di </w:t>
      </w:r>
      <w:r w:rsidR="00171FFB" w:rsidRPr="006309F9">
        <w:rPr>
          <w:rFonts w:ascii="Times New Roman" w:hAnsi="Times New Roman" w:cs="Times New Roman"/>
          <w:sz w:val="28"/>
          <w:szCs w:val="28"/>
        </w:rPr>
        <w:t>tute</w:t>
      </w:r>
      <w:r>
        <w:rPr>
          <w:rFonts w:ascii="Times New Roman" w:hAnsi="Times New Roman" w:cs="Times New Roman"/>
          <w:sz w:val="28"/>
          <w:szCs w:val="28"/>
        </w:rPr>
        <w:t xml:space="preserve">lare gli equilibri di bilancio, </w:t>
      </w:r>
      <w:r w:rsidR="00171FFB" w:rsidRPr="006309F9">
        <w:rPr>
          <w:rFonts w:ascii="Times New Roman" w:hAnsi="Times New Roman" w:cs="Times New Roman"/>
          <w:sz w:val="28"/>
          <w:szCs w:val="28"/>
        </w:rPr>
        <w:t xml:space="preserve">impedendo l’utilizzo di entrate di dubbia esigibilità a </w:t>
      </w:r>
      <w:r>
        <w:rPr>
          <w:rFonts w:ascii="Times New Roman" w:hAnsi="Times New Roman" w:cs="Times New Roman"/>
          <w:sz w:val="28"/>
          <w:szCs w:val="28"/>
        </w:rPr>
        <w:t xml:space="preserve">copertura di impegni di </w:t>
      </w:r>
      <w:r w:rsidR="00171FFB" w:rsidRPr="006309F9">
        <w:rPr>
          <w:rFonts w:ascii="Times New Roman" w:hAnsi="Times New Roman" w:cs="Times New Roman"/>
          <w:sz w:val="28"/>
          <w:szCs w:val="28"/>
        </w:rPr>
        <w:t>spes</w:t>
      </w:r>
      <w:r>
        <w:rPr>
          <w:rFonts w:ascii="Times New Roman" w:hAnsi="Times New Roman" w:cs="Times New Roman"/>
          <w:sz w:val="28"/>
          <w:szCs w:val="28"/>
        </w:rPr>
        <w:t>a</w:t>
      </w:r>
      <w:r>
        <w:rPr>
          <w:rStyle w:val="Rimandonotaapidipagina"/>
          <w:rFonts w:ascii="Times New Roman" w:hAnsi="Times New Roman" w:cs="Times New Roman"/>
          <w:sz w:val="28"/>
          <w:szCs w:val="28"/>
        </w:rPr>
        <w:footnoteReference w:id="37"/>
      </w:r>
      <w:r w:rsidR="00171FFB" w:rsidRPr="006309F9">
        <w:rPr>
          <w:rFonts w:ascii="Times New Roman" w:hAnsi="Times New Roman" w:cs="Times New Roman"/>
          <w:sz w:val="28"/>
          <w:szCs w:val="28"/>
        </w:rPr>
        <w:t xml:space="preserve">. </w:t>
      </w:r>
    </w:p>
    <w:p w14:paraId="7267F344" w14:textId="5FEEA2F9" w:rsidR="00171FFB" w:rsidRPr="006309F9" w:rsidRDefault="00171FFB"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L’adeguata quantificazione del fondo crediti di dubbia esigibilità</w:t>
      </w:r>
      <w:r w:rsidR="000F05E2">
        <w:rPr>
          <w:rFonts w:ascii="Times New Roman" w:hAnsi="Times New Roman" w:cs="Times New Roman"/>
          <w:sz w:val="28"/>
          <w:szCs w:val="28"/>
        </w:rPr>
        <w:t>,</w:t>
      </w:r>
      <w:r w:rsidRPr="006309F9">
        <w:rPr>
          <w:rFonts w:ascii="Times New Roman" w:hAnsi="Times New Roman" w:cs="Times New Roman"/>
          <w:sz w:val="28"/>
          <w:szCs w:val="28"/>
        </w:rPr>
        <w:t xml:space="preserve"> in conformità al </w:t>
      </w:r>
      <w:r w:rsidR="000F05E2">
        <w:rPr>
          <w:rFonts w:ascii="Times New Roman" w:hAnsi="Times New Roman" w:cs="Times New Roman"/>
          <w:sz w:val="28"/>
          <w:szCs w:val="28"/>
        </w:rPr>
        <w:t>P</w:t>
      </w:r>
      <w:r w:rsidRPr="006309F9">
        <w:rPr>
          <w:rFonts w:ascii="Times New Roman" w:hAnsi="Times New Roman" w:cs="Times New Roman"/>
          <w:sz w:val="28"/>
          <w:szCs w:val="28"/>
        </w:rPr>
        <w:t>rincipio applicato della contabilità finanziaria (p</w:t>
      </w:r>
      <w:r w:rsidR="000F05E2">
        <w:rPr>
          <w:rFonts w:ascii="Times New Roman" w:hAnsi="Times New Roman" w:cs="Times New Roman"/>
          <w:sz w:val="28"/>
          <w:szCs w:val="28"/>
        </w:rPr>
        <w:t xml:space="preserve">aragrafo </w:t>
      </w:r>
      <w:r w:rsidRPr="006309F9">
        <w:rPr>
          <w:rFonts w:ascii="Times New Roman" w:hAnsi="Times New Roman" w:cs="Times New Roman"/>
          <w:sz w:val="28"/>
          <w:szCs w:val="28"/>
        </w:rPr>
        <w:t>3.3</w:t>
      </w:r>
      <w:r w:rsidR="000F05E2">
        <w:rPr>
          <w:rFonts w:ascii="Times New Roman" w:hAnsi="Times New Roman" w:cs="Times New Roman"/>
          <w:sz w:val="28"/>
          <w:szCs w:val="28"/>
        </w:rPr>
        <w:t xml:space="preserve"> ed</w:t>
      </w:r>
      <w:r w:rsidRPr="006309F9">
        <w:rPr>
          <w:rFonts w:ascii="Times New Roman" w:hAnsi="Times New Roman" w:cs="Times New Roman"/>
          <w:sz w:val="28"/>
          <w:szCs w:val="28"/>
        </w:rPr>
        <w:t xml:space="preserve"> </w:t>
      </w:r>
      <w:r w:rsidR="000F05E2">
        <w:rPr>
          <w:rFonts w:ascii="Times New Roman" w:hAnsi="Times New Roman" w:cs="Times New Roman"/>
          <w:sz w:val="28"/>
          <w:szCs w:val="28"/>
        </w:rPr>
        <w:t>E</w:t>
      </w:r>
      <w:r w:rsidRPr="006309F9">
        <w:rPr>
          <w:rFonts w:ascii="Times New Roman" w:hAnsi="Times New Roman" w:cs="Times New Roman"/>
          <w:sz w:val="28"/>
          <w:szCs w:val="28"/>
        </w:rPr>
        <w:t>s</w:t>
      </w:r>
      <w:r w:rsidR="000F05E2">
        <w:rPr>
          <w:rFonts w:ascii="Times New Roman" w:hAnsi="Times New Roman" w:cs="Times New Roman"/>
          <w:sz w:val="28"/>
          <w:szCs w:val="28"/>
        </w:rPr>
        <w:t xml:space="preserve">empio </w:t>
      </w:r>
      <w:r w:rsidRPr="006309F9">
        <w:rPr>
          <w:rFonts w:ascii="Times New Roman" w:hAnsi="Times New Roman" w:cs="Times New Roman"/>
          <w:sz w:val="28"/>
          <w:szCs w:val="28"/>
        </w:rPr>
        <w:t>n. 5</w:t>
      </w:r>
      <w:r w:rsidR="000F05E2">
        <w:rPr>
          <w:rFonts w:ascii="Times New Roman" w:hAnsi="Times New Roman" w:cs="Times New Roman"/>
          <w:sz w:val="28"/>
          <w:szCs w:val="28"/>
        </w:rPr>
        <w:t xml:space="preserve"> dell’Allegato 4/2 al d.lgs. n. 118/2011</w:t>
      </w:r>
      <w:r w:rsidRPr="006309F9">
        <w:rPr>
          <w:rFonts w:ascii="Times New Roman" w:hAnsi="Times New Roman" w:cs="Times New Roman"/>
          <w:sz w:val="28"/>
          <w:szCs w:val="28"/>
        </w:rPr>
        <w:t>)</w:t>
      </w:r>
      <w:r w:rsidR="00E5719B">
        <w:rPr>
          <w:rFonts w:ascii="Times New Roman" w:hAnsi="Times New Roman" w:cs="Times New Roman"/>
          <w:sz w:val="28"/>
          <w:szCs w:val="28"/>
        </w:rPr>
        <w:t>,</w:t>
      </w:r>
      <w:r w:rsidRPr="006309F9">
        <w:rPr>
          <w:rFonts w:ascii="Times New Roman" w:hAnsi="Times New Roman" w:cs="Times New Roman"/>
          <w:sz w:val="28"/>
          <w:szCs w:val="28"/>
        </w:rPr>
        <w:t xml:space="preserve"> </w:t>
      </w:r>
      <w:r w:rsidR="000F05E2">
        <w:rPr>
          <w:rFonts w:ascii="Times New Roman" w:hAnsi="Times New Roman" w:cs="Times New Roman"/>
          <w:sz w:val="28"/>
          <w:szCs w:val="28"/>
        </w:rPr>
        <w:t xml:space="preserve">ha </w:t>
      </w:r>
      <w:r w:rsidR="002D577C">
        <w:rPr>
          <w:rFonts w:ascii="Times New Roman" w:hAnsi="Times New Roman" w:cs="Times New Roman"/>
          <w:sz w:val="28"/>
          <w:szCs w:val="28"/>
        </w:rPr>
        <w:t>condizionato</w:t>
      </w:r>
      <w:r w:rsidRPr="006309F9">
        <w:rPr>
          <w:rFonts w:ascii="Times New Roman" w:hAnsi="Times New Roman" w:cs="Times New Roman"/>
          <w:sz w:val="28"/>
          <w:szCs w:val="28"/>
        </w:rPr>
        <w:t xml:space="preserve"> la veridicità del risultato di amministrazione al 1° gennaio 2015</w:t>
      </w:r>
      <w:r w:rsidR="000F05E2">
        <w:rPr>
          <w:rFonts w:ascii="Times New Roman" w:hAnsi="Times New Roman" w:cs="Times New Roman"/>
          <w:sz w:val="28"/>
          <w:szCs w:val="28"/>
        </w:rPr>
        <w:t>,</w:t>
      </w:r>
      <w:r w:rsidRPr="006309F9">
        <w:rPr>
          <w:rFonts w:ascii="Times New Roman" w:hAnsi="Times New Roman" w:cs="Times New Roman"/>
          <w:sz w:val="28"/>
          <w:szCs w:val="28"/>
        </w:rPr>
        <w:t xml:space="preserve"> preserva</w:t>
      </w:r>
      <w:r w:rsidR="000F05E2">
        <w:rPr>
          <w:rFonts w:ascii="Times New Roman" w:hAnsi="Times New Roman" w:cs="Times New Roman"/>
          <w:sz w:val="28"/>
          <w:szCs w:val="28"/>
        </w:rPr>
        <w:t>ndo</w:t>
      </w:r>
      <w:r w:rsidRPr="006309F9">
        <w:rPr>
          <w:rFonts w:ascii="Times New Roman" w:hAnsi="Times New Roman" w:cs="Times New Roman"/>
          <w:sz w:val="28"/>
          <w:szCs w:val="28"/>
        </w:rPr>
        <w:t xml:space="preserve"> l’ente da disavanzi occulti </w:t>
      </w:r>
      <w:r w:rsidR="000F05E2">
        <w:rPr>
          <w:rFonts w:ascii="Times New Roman" w:hAnsi="Times New Roman" w:cs="Times New Roman"/>
          <w:sz w:val="28"/>
          <w:szCs w:val="28"/>
        </w:rPr>
        <w:t>e</w:t>
      </w:r>
      <w:r w:rsidRPr="006309F9">
        <w:rPr>
          <w:rFonts w:ascii="Times New Roman" w:hAnsi="Times New Roman" w:cs="Times New Roman"/>
          <w:sz w:val="28"/>
          <w:szCs w:val="28"/>
        </w:rPr>
        <w:t xml:space="preserve"> da potenziali squilibri di competenza e di cassa</w:t>
      </w:r>
      <w:r w:rsidR="000F05E2">
        <w:rPr>
          <w:rStyle w:val="Rimandonotaapidipagina"/>
          <w:rFonts w:ascii="Times New Roman" w:hAnsi="Times New Roman" w:cs="Times New Roman"/>
          <w:sz w:val="28"/>
          <w:szCs w:val="28"/>
        </w:rPr>
        <w:footnoteReference w:id="38"/>
      </w:r>
      <w:r w:rsidRPr="006309F9">
        <w:rPr>
          <w:rFonts w:ascii="Times New Roman" w:hAnsi="Times New Roman" w:cs="Times New Roman"/>
          <w:sz w:val="28"/>
          <w:szCs w:val="28"/>
        </w:rPr>
        <w:t>.</w:t>
      </w:r>
      <w:r w:rsidR="002D577C">
        <w:rPr>
          <w:rFonts w:ascii="Times New Roman" w:hAnsi="Times New Roman" w:cs="Times New Roman"/>
          <w:sz w:val="28"/>
          <w:szCs w:val="28"/>
        </w:rPr>
        <w:t xml:space="preserve"> L</w:t>
      </w:r>
      <w:r w:rsidR="00E5719B">
        <w:rPr>
          <w:rFonts w:ascii="Times New Roman" w:hAnsi="Times New Roman" w:cs="Times New Roman"/>
          <w:sz w:val="28"/>
          <w:szCs w:val="28"/>
        </w:rPr>
        <w:t xml:space="preserve">a determinazione delle entrate </w:t>
      </w:r>
      <w:r w:rsidRPr="006309F9">
        <w:rPr>
          <w:rFonts w:ascii="Times New Roman" w:hAnsi="Times New Roman" w:cs="Times New Roman"/>
          <w:sz w:val="28"/>
          <w:szCs w:val="28"/>
        </w:rPr>
        <w:t xml:space="preserve">di dubbia e difficile esazione e la conseguente “svalutazione” </w:t>
      </w:r>
      <w:r w:rsidR="002D577C">
        <w:rPr>
          <w:rFonts w:ascii="Times New Roman" w:hAnsi="Times New Roman" w:cs="Times New Roman"/>
          <w:sz w:val="28"/>
          <w:szCs w:val="28"/>
        </w:rPr>
        <w:t>tutela, infatti,</w:t>
      </w:r>
      <w:r w:rsidRPr="006309F9">
        <w:rPr>
          <w:rFonts w:ascii="Times New Roman" w:hAnsi="Times New Roman" w:cs="Times New Roman"/>
          <w:sz w:val="28"/>
          <w:szCs w:val="28"/>
        </w:rPr>
        <w:t xml:space="preserve"> l’ente </w:t>
      </w:r>
      <w:r w:rsidR="00E5719B">
        <w:rPr>
          <w:rFonts w:ascii="Times New Roman" w:hAnsi="Times New Roman" w:cs="Times New Roman"/>
          <w:sz w:val="28"/>
          <w:szCs w:val="28"/>
        </w:rPr>
        <w:t xml:space="preserve">territoriale </w:t>
      </w:r>
      <w:r w:rsidRPr="006309F9">
        <w:rPr>
          <w:rFonts w:ascii="Times New Roman" w:hAnsi="Times New Roman" w:cs="Times New Roman"/>
          <w:sz w:val="28"/>
          <w:szCs w:val="28"/>
        </w:rPr>
        <w:t xml:space="preserve">dal rischio di utilizzare entrate non </w:t>
      </w:r>
      <w:r w:rsidR="00E5719B">
        <w:rPr>
          <w:rFonts w:ascii="Times New Roman" w:hAnsi="Times New Roman" w:cs="Times New Roman"/>
          <w:sz w:val="28"/>
          <w:szCs w:val="28"/>
        </w:rPr>
        <w:t>riscuotibili</w:t>
      </w:r>
      <w:r w:rsidRPr="006309F9">
        <w:rPr>
          <w:rFonts w:ascii="Times New Roman" w:hAnsi="Times New Roman" w:cs="Times New Roman"/>
          <w:sz w:val="28"/>
          <w:szCs w:val="28"/>
        </w:rPr>
        <w:t xml:space="preserve"> </w:t>
      </w:r>
      <w:r w:rsidR="002D577C">
        <w:rPr>
          <w:rFonts w:ascii="Times New Roman" w:hAnsi="Times New Roman" w:cs="Times New Roman"/>
          <w:sz w:val="28"/>
          <w:szCs w:val="28"/>
        </w:rPr>
        <w:t xml:space="preserve">per </w:t>
      </w:r>
      <w:r w:rsidRPr="006309F9">
        <w:rPr>
          <w:rFonts w:ascii="Times New Roman" w:hAnsi="Times New Roman" w:cs="Times New Roman"/>
          <w:sz w:val="28"/>
          <w:szCs w:val="28"/>
        </w:rPr>
        <w:t>finanzia</w:t>
      </w:r>
      <w:r w:rsidR="002D577C">
        <w:rPr>
          <w:rFonts w:ascii="Times New Roman" w:hAnsi="Times New Roman" w:cs="Times New Roman"/>
          <w:sz w:val="28"/>
          <w:szCs w:val="28"/>
        </w:rPr>
        <w:t>re obbligazioni passive</w:t>
      </w:r>
      <w:r w:rsidR="008C05DB">
        <w:rPr>
          <w:rFonts w:ascii="Times New Roman" w:hAnsi="Times New Roman" w:cs="Times New Roman"/>
          <w:sz w:val="28"/>
          <w:szCs w:val="28"/>
        </w:rPr>
        <w:t xml:space="preserve">, </w:t>
      </w:r>
      <w:r w:rsidR="002D577C">
        <w:rPr>
          <w:rFonts w:ascii="Times New Roman" w:hAnsi="Times New Roman" w:cs="Times New Roman"/>
          <w:sz w:val="28"/>
          <w:szCs w:val="28"/>
        </w:rPr>
        <w:t>generando</w:t>
      </w:r>
      <w:r w:rsidR="008C05DB">
        <w:rPr>
          <w:rFonts w:ascii="Times New Roman" w:hAnsi="Times New Roman" w:cs="Times New Roman"/>
          <w:sz w:val="28"/>
          <w:szCs w:val="28"/>
        </w:rPr>
        <w:t xml:space="preserve"> una</w:t>
      </w:r>
      <w:r w:rsidRPr="006309F9">
        <w:rPr>
          <w:rFonts w:ascii="Times New Roman" w:hAnsi="Times New Roman" w:cs="Times New Roman"/>
          <w:sz w:val="28"/>
          <w:szCs w:val="28"/>
        </w:rPr>
        <w:t xml:space="preserve"> gestione in “</w:t>
      </w:r>
      <w:r w:rsidRPr="008C05DB">
        <w:rPr>
          <w:rFonts w:ascii="Times New Roman" w:hAnsi="Times New Roman" w:cs="Times New Roman"/>
          <w:i/>
          <w:sz w:val="28"/>
          <w:szCs w:val="28"/>
        </w:rPr>
        <w:t>sostanziale situazione di disavanzo</w:t>
      </w:r>
      <w:r w:rsidRPr="006309F9">
        <w:rPr>
          <w:rFonts w:ascii="Times New Roman" w:hAnsi="Times New Roman" w:cs="Times New Roman"/>
          <w:sz w:val="28"/>
          <w:szCs w:val="28"/>
        </w:rPr>
        <w:t>”</w:t>
      </w:r>
      <w:r w:rsidR="008C05DB">
        <w:rPr>
          <w:rStyle w:val="Rimandonotaapidipagina"/>
          <w:rFonts w:ascii="Times New Roman" w:hAnsi="Times New Roman" w:cs="Times New Roman"/>
          <w:sz w:val="28"/>
          <w:szCs w:val="28"/>
        </w:rPr>
        <w:footnoteReference w:id="39"/>
      </w:r>
      <w:r w:rsidR="008C05DB">
        <w:rPr>
          <w:rFonts w:ascii="Times New Roman" w:hAnsi="Times New Roman" w:cs="Times New Roman"/>
          <w:sz w:val="28"/>
          <w:szCs w:val="28"/>
        </w:rPr>
        <w:t>.</w:t>
      </w:r>
      <w:r w:rsidRPr="006309F9">
        <w:rPr>
          <w:rFonts w:ascii="Times New Roman" w:hAnsi="Times New Roman" w:cs="Times New Roman"/>
          <w:sz w:val="28"/>
          <w:szCs w:val="28"/>
        </w:rPr>
        <w:t xml:space="preserve"> </w:t>
      </w:r>
    </w:p>
    <w:p w14:paraId="5416436E" w14:textId="77777777" w:rsidR="008137A4" w:rsidRDefault="008C05DB"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La necessaria creazione, nella parte spesa del bilancio di previsione, di una posta compensativa e correttiva del grado di rischio di riscossione delle entrate ha </w:t>
      </w:r>
      <w:r w:rsidR="00171FFB" w:rsidRPr="006309F9">
        <w:rPr>
          <w:rFonts w:ascii="Times New Roman" w:hAnsi="Times New Roman" w:cs="Times New Roman"/>
          <w:sz w:val="28"/>
          <w:szCs w:val="28"/>
        </w:rPr>
        <w:t>comporta</w:t>
      </w:r>
      <w:r>
        <w:rPr>
          <w:rFonts w:ascii="Times New Roman" w:hAnsi="Times New Roman" w:cs="Times New Roman"/>
          <w:sz w:val="28"/>
          <w:szCs w:val="28"/>
        </w:rPr>
        <w:t>to</w:t>
      </w:r>
      <w:r w:rsidR="00171FFB" w:rsidRPr="006309F9">
        <w:rPr>
          <w:rFonts w:ascii="Times New Roman" w:hAnsi="Times New Roman" w:cs="Times New Roman"/>
          <w:sz w:val="28"/>
          <w:szCs w:val="28"/>
        </w:rPr>
        <w:t xml:space="preserve"> il </w:t>
      </w:r>
      <w:r w:rsidR="00171FFB" w:rsidRPr="00045D08">
        <w:rPr>
          <w:rFonts w:ascii="Times New Roman" w:hAnsi="Times New Roman" w:cs="Times New Roman"/>
          <w:sz w:val="28"/>
          <w:szCs w:val="28"/>
          <w:u w:val="single"/>
        </w:rPr>
        <w:t xml:space="preserve">superamento della </w:t>
      </w:r>
      <w:r w:rsidRPr="00045D08">
        <w:rPr>
          <w:rFonts w:ascii="Times New Roman" w:hAnsi="Times New Roman" w:cs="Times New Roman"/>
          <w:sz w:val="28"/>
          <w:szCs w:val="28"/>
          <w:u w:val="single"/>
        </w:rPr>
        <w:t xml:space="preserve">prassi della </w:t>
      </w:r>
      <w:r w:rsidR="00171FFB" w:rsidRPr="00045D08">
        <w:rPr>
          <w:rFonts w:ascii="Times New Roman" w:hAnsi="Times New Roman" w:cs="Times New Roman"/>
          <w:sz w:val="28"/>
          <w:szCs w:val="28"/>
          <w:u w:val="single"/>
        </w:rPr>
        <w:t xml:space="preserve">gestione </w:t>
      </w:r>
      <w:r w:rsidRPr="00045D08">
        <w:rPr>
          <w:rFonts w:ascii="Times New Roman" w:hAnsi="Times New Roman" w:cs="Times New Roman"/>
          <w:sz w:val="28"/>
          <w:szCs w:val="28"/>
          <w:u w:val="single"/>
        </w:rPr>
        <w:t xml:space="preserve">degli accertamenti di alcune entrate in termini </w:t>
      </w:r>
      <w:r w:rsidR="00171FFB" w:rsidRPr="00045D08">
        <w:rPr>
          <w:rFonts w:ascii="Times New Roman" w:hAnsi="Times New Roman" w:cs="Times New Roman"/>
          <w:sz w:val="28"/>
          <w:szCs w:val="28"/>
          <w:u w:val="single"/>
        </w:rPr>
        <w:t>di mera cassa</w:t>
      </w:r>
      <w:r>
        <w:rPr>
          <w:rStyle w:val="Rimandonotaapidipagina"/>
          <w:rFonts w:ascii="Times New Roman" w:hAnsi="Times New Roman" w:cs="Times New Roman"/>
          <w:sz w:val="28"/>
          <w:szCs w:val="28"/>
        </w:rPr>
        <w:footnoteReference w:id="40"/>
      </w:r>
      <w:r>
        <w:rPr>
          <w:rFonts w:ascii="Times New Roman" w:hAnsi="Times New Roman" w:cs="Times New Roman"/>
          <w:sz w:val="28"/>
          <w:szCs w:val="28"/>
        </w:rPr>
        <w:t xml:space="preserve">. Tale </w:t>
      </w:r>
      <w:r w:rsidRPr="008C05DB">
        <w:rPr>
          <w:rFonts w:ascii="Times New Roman" w:hAnsi="Times New Roman" w:cs="Times New Roman"/>
          <w:i/>
          <w:sz w:val="28"/>
          <w:szCs w:val="28"/>
        </w:rPr>
        <w:t xml:space="preserve">modus </w:t>
      </w:r>
      <w:proofErr w:type="spellStart"/>
      <w:r w:rsidRPr="008C05DB">
        <w:rPr>
          <w:rFonts w:ascii="Times New Roman" w:hAnsi="Times New Roman" w:cs="Times New Roman"/>
          <w:i/>
          <w:sz w:val="28"/>
          <w:szCs w:val="28"/>
        </w:rPr>
        <w:t>procedendi</w:t>
      </w:r>
      <w:proofErr w:type="spellEnd"/>
      <w:r>
        <w:rPr>
          <w:rFonts w:ascii="Times New Roman" w:hAnsi="Times New Roman" w:cs="Times New Roman"/>
          <w:sz w:val="28"/>
          <w:szCs w:val="28"/>
        </w:rPr>
        <w:t>, non vietato espressamente del previgente sistema contabile</w:t>
      </w:r>
      <w:r w:rsidR="00171FFB" w:rsidRPr="006309F9">
        <w:rPr>
          <w:rFonts w:ascii="Times New Roman" w:hAnsi="Times New Roman" w:cs="Times New Roman"/>
          <w:sz w:val="28"/>
          <w:szCs w:val="28"/>
        </w:rPr>
        <w:t>,</w:t>
      </w:r>
      <w:r>
        <w:rPr>
          <w:rFonts w:ascii="Times New Roman" w:hAnsi="Times New Roman" w:cs="Times New Roman"/>
          <w:sz w:val="28"/>
          <w:szCs w:val="28"/>
        </w:rPr>
        <w:t xml:space="preserve"> facendo coincidere il momento dell’accertamento con quello della riscossione</w:t>
      </w:r>
      <w:r w:rsidR="006E62D0">
        <w:rPr>
          <w:rFonts w:ascii="Times New Roman" w:hAnsi="Times New Roman" w:cs="Times New Roman"/>
          <w:sz w:val="28"/>
          <w:szCs w:val="28"/>
        </w:rPr>
        <w:t>,</w:t>
      </w:r>
      <w:r>
        <w:rPr>
          <w:rFonts w:ascii="Times New Roman" w:hAnsi="Times New Roman" w:cs="Times New Roman"/>
          <w:sz w:val="28"/>
          <w:szCs w:val="28"/>
        </w:rPr>
        <w:t xml:space="preserve"> mirava ad evitare di fornire copertura finanziaria a impegni di spesa mediante entrate di dubbia esigibilità. Tuttavia, si trattava di un comportamento contabile, anche se ispirato a prudenza, </w:t>
      </w:r>
      <w:r w:rsidR="00171FFB" w:rsidRPr="006309F9">
        <w:rPr>
          <w:rFonts w:ascii="Times New Roman" w:hAnsi="Times New Roman" w:cs="Times New Roman"/>
          <w:sz w:val="28"/>
          <w:szCs w:val="28"/>
        </w:rPr>
        <w:t>contrari</w:t>
      </w:r>
      <w:r>
        <w:rPr>
          <w:rFonts w:ascii="Times New Roman" w:hAnsi="Times New Roman" w:cs="Times New Roman"/>
          <w:sz w:val="28"/>
          <w:szCs w:val="28"/>
        </w:rPr>
        <w:t>o</w:t>
      </w:r>
      <w:r w:rsidR="00171FFB" w:rsidRPr="006309F9">
        <w:rPr>
          <w:rFonts w:ascii="Times New Roman" w:hAnsi="Times New Roman" w:cs="Times New Roman"/>
          <w:sz w:val="28"/>
          <w:szCs w:val="28"/>
        </w:rPr>
        <w:t xml:space="preserve"> ai principi di veridicità e attendibilità</w:t>
      </w:r>
      <w:r>
        <w:rPr>
          <w:rFonts w:ascii="Times New Roman" w:hAnsi="Times New Roman" w:cs="Times New Roman"/>
          <w:sz w:val="28"/>
          <w:szCs w:val="28"/>
        </w:rPr>
        <w:t xml:space="preserve"> del bilancio (essendo le entrate in parola gestite “</w:t>
      </w:r>
      <w:r w:rsidRPr="00155AAB">
        <w:rPr>
          <w:rFonts w:ascii="Times New Roman" w:hAnsi="Times New Roman" w:cs="Times New Roman"/>
          <w:i/>
          <w:iCs/>
          <w:sz w:val="28"/>
          <w:szCs w:val="28"/>
        </w:rPr>
        <w:t>fuori bilancio</w:t>
      </w:r>
      <w:r>
        <w:rPr>
          <w:rFonts w:ascii="Times New Roman" w:hAnsi="Times New Roman" w:cs="Times New Roman"/>
          <w:sz w:val="28"/>
          <w:szCs w:val="28"/>
        </w:rPr>
        <w:t xml:space="preserve">”), che rischiava di alimentare fenomeni </w:t>
      </w:r>
      <w:r w:rsidR="003444AC">
        <w:rPr>
          <w:rFonts w:ascii="Times New Roman" w:hAnsi="Times New Roman" w:cs="Times New Roman"/>
          <w:sz w:val="28"/>
          <w:szCs w:val="28"/>
        </w:rPr>
        <w:t>di occultamento della reale capacità di entrata dell’ente territoriale (risultando la riscossione/accertamento d</w:t>
      </w:r>
      <w:r w:rsidR="006E62D0">
        <w:rPr>
          <w:rFonts w:ascii="Times New Roman" w:hAnsi="Times New Roman" w:cs="Times New Roman"/>
          <w:sz w:val="28"/>
          <w:szCs w:val="28"/>
        </w:rPr>
        <w:t>i queste ultime</w:t>
      </w:r>
      <w:r w:rsidR="003444AC">
        <w:rPr>
          <w:rFonts w:ascii="Times New Roman" w:hAnsi="Times New Roman" w:cs="Times New Roman"/>
          <w:sz w:val="28"/>
          <w:szCs w:val="28"/>
        </w:rPr>
        <w:t>, riferite ad esercizi anche risalenti nel tempo, delle “</w:t>
      </w:r>
      <w:r w:rsidR="003444AC" w:rsidRPr="008137A4">
        <w:rPr>
          <w:rFonts w:ascii="Times New Roman" w:hAnsi="Times New Roman" w:cs="Times New Roman"/>
          <w:i/>
          <w:iCs/>
          <w:sz w:val="28"/>
          <w:szCs w:val="28"/>
        </w:rPr>
        <w:t>sopravvenienze attive</w:t>
      </w:r>
      <w:r w:rsidR="003444AC">
        <w:rPr>
          <w:rFonts w:ascii="Times New Roman" w:hAnsi="Times New Roman" w:cs="Times New Roman"/>
          <w:sz w:val="28"/>
          <w:szCs w:val="28"/>
        </w:rPr>
        <w:t xml:space="preserve">” non collegate alla programmazione </w:t>
      </w:r>
      <w:r w:rsidR="006E62D0">
        <w:rPr>
          <w:rFonts w:ascii="Times New Roman" w:hAnsi="Times New Roman" w:cs="Times New Roman"/>
          <w:sz w:val="28"/>
          <w:szCs w:val="28"/>
        </w:rPr>
        <w:t xml:space="preserve">finanziaria </w:t>
      </w:r>
      <w:r w:rsidR="003444AC">
        <w:rPr>
          <w:rFonts w:ascii="Times New Roman" w:hAnsi="Times New Roman" w:cs="Times New Roman"/>
          <w:sz w:val="28"/>
          <w:szCs w:val="28"/>
        </w:rPr>
        <w:t xml:space="preserve">di competenza). </w:t>
      </w:r>
    </w:p>
    <w:p w14:paraId="18EC5FC8" w14:textId="5E072B55" w:rsidR="00171FFB" w:rsidRPr="006309F9" w:rsidRDefault="003444AC"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In tale ottica, </w:t>
      </w:r>
      <w:r w:rsidRPr="00045D08">
        <w:rPr>
          <w:rFonts w:ascii="Times New Roman" w:hAnsi="Times New Roman" w:cs="Times New Roman"/>
          <w:sz w:val="28"/>
          <w:szCs w:val="28"/>
          <w:u w:val="single"/>
        </w:rPr>
        <w:t>l’esigenza di armonizzare i sistemi contabili di regioni ed enti locali</w:t>
      </w:r>
      <w:r w:rsidRPr="00045D08">
        <w:rPr>
          <w:rStyle w:val="Rimandonotaapidipagina"/>
          <w:rFonts w:ascii="Times New Roman" w:hAnsi="Times New Roman" w:cs="Times New Roman"/>
          <w:sz w:val="28"/>
          <w:szCs w:val="28"/>
          <w:u w:val="single"/>
        </w:rPr>
        <w:footnoteReference w:id="41"/>
      </w:r>
      <w:r w:rsidRPr="00045D08">
        <w:rPr>
          <w:rFonts w:ascii="Times New Roman" w:hAnsi="Times New Roman" w:cs="Times New Roman"/>
          <w:sz w:val="28"/>
          <w:szCs w:val="28"/>
          <w:u w:val="single"/>
        </w:rPr>
        <w:t xml:space="preserve"> ha indotto il legislatore a preferire, salvo eccezioni</w:t>
      </w:r>
      <w:r w:rsidRPr="00045D08">
        <w:rPr>
          <w:rStyle w:val="Rimandonotaapidipagina"/>
          <w:rFonts w:ascii="Times New Roman" w:hAnsi="Times New Roman" w:cs="Times New Roman"/>
          <w:sz w:val="28"/>
          <w:szCs w:val="28"/>
          <w:u w:val="single"/>
        </w:rPr>
        <w:footnoteReference w:id="42"/>
      </w:r>
      <w:r w:rsidRPr="00045D08">
        <w:rPr>
          <w:rFonts w:ascii="Times New Roman" w:hAnsi="Times New Roman" w:cs="Times New Roman"/>
          <w:sz w:val="28"/>
          <w:szCs w:val="28"/>
          <w:u w:val="single"/>
        </w:rPr>
        <w:t>, un sistema contabile in cui l’accertamento va, in modo omogeneo per tutte le tipologie di entrata, iscritto nelle scritture contabili al momento dell’insorgenza di un’obbligazione giuridica attiva</w:t>
      </w:r>
      <w:r>
        <w:rPr>
          <w:rFonts w:ascii="Times New Roman" w:hAnsi="Times New Roman" w:cs="Times New Roman"/>
          <w:sz w:val="28"/>
          <w:szCs w:val="28"/>
        </w:rPr>
        <w:t xml:space="preserve"> (da imputare ad un predeterminato esercizio di bilancio, in ragione della stimata esigibilità) per l’intero importo desumibile dal titolo sottostante</w:t>
      </w:r>
      <w:r>
        <w:rPr>
          <w:rStyle w:val="Rimandonotaapidipagina"/>
          <w:rFonts w:ascii="Times New Roman" w:hAnsi="Times New Roman" w:cs="Times New Roman"/>
          <w:sz w:val="28"/>
          <w:szCs w:val="28"/>
        </w:rPr>
        <w:footnoteReference w:id="43"/>
      </w:r>
      <w:r w:rsidR="00283425">
        <w:rPr>
          <w:rFonts w:ascii="Times New Roman" w:hAnsi="Times New Roman" w:cs="Times New Roman"/>
          <w:sz w:val="28"/>
          <w:szCs w:val="28"/>
        </w:rPr>
        <w:t>, salvo accantonare, in parte spesa, una voce compensativa del rischio di mancata riscossione (il FCDE).</w:t>
      </w:r>
      <w:r>
        <w:rPr>
          <w:rFonts w:ascii="Times New Roman" w:hAnsi="Times New Roman" w:cs="Times New Roman"/>
          <w:sz w:val="28"/>
          <w:szCs w:val="28"/>
        </w:rPr>
        <w:t xml:space="preserve"> </w:t>
      </w:r>
    </w:p>
    <w:p w14:paraId="38D0BEBA" w14:textId="481B0DCB" w:rsidR="00283425" w:rsidRDefault="00283425"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Un primo dubbio che le amministrazioni territoriali hanno dovuto affrontare, in proposito, è stato costituito dalla </w:t>
      </w:r>
      <w:r w:rsidR="00045D08">
        <w:rPr>
          <w:rFonts w:ascii="Times New Roman" w:hAnsi="Times New Roman" w:cs="Times New Roman"/>
          <w:sz w:val="28"/>
          <w:szCs w:val="28"/>
          <w:u w:val="single"/>
        </w:rPr>
        <w:t>individuazione</w:t>
      </w:r>
      <w:r w:rsidR="00171FFB" w:rsidRPr="00283425">
        <w:rPr>
          <w:rFonts w:ascii="Times New Roman" w:hAnsi="Times New Roman" w:cs="Times New Roman"/>
          <w:sz w:val="28"/>
          <w:szCs w:val="28"/>
          <w:u w:val="single"/>
        </w:rPr>
        <w:t xml:space="preserve"> </w:t>
      </w:r>
      <w:r>
        <w:rPr>
          <w:rFonts w:ascii="Times New Roman" w:hAnsi="Times New Roman" w:cs="Times New Roman"/>
          <w:sz w:val="28"/>
          <w:szCs w:val="28"/>
          <w:u w:val="single"/>
        </w:rPr>
        <w:t>degli accertamenti di entrata (e, di conseguenza, dei residui attivi/</w:t>
      </w:r>
      <w:r w:rsidR="00171FFB" w:rsidRPr="00283425">
        <w:rPr>
          <w:rFonts w:ascii="Times New Roman" w:hAnsi="Times New Roman" w:cs="Times New Roman"/>
          <w:sz w:val="28"/>
          <w:szCs w:val="28"/>
          <w:u w:val="single"/>
        </w:rPr>
        <w:t>crediti</w:t>
      </w:r>
      <w:r>
        <w:rPr>
          <w:rFonts w:ascii="Times New Roman" w:hAnsi="Times New Roman" w:cs="Times New Roman"/>
          <w:sz w:val="28"/>
          <w:szCs w:val="28"/>
          <w:u w:val="single"/>
        </w:rPr>
        <w:t>)</w:t>
      </w:r>
      <w:r w:rsidR="00171FFB" w:rsidRPr="00283425">
        <w:rPr>
          <w:rFonts w:ascii="Times New Roman" w:hAnsi="Times New Roman" w:cs="Times New Roman"/>
          <w:sz w:val="28"/>
          <w:szCs w:val="28"/>
          <w:u w:val="single"/>
        </w:rPr>
        <w:t xml:space="preserve"> di dubbia e difficile esazione</w:t>
      </w:r>
      <w:r w:rsidR="006E62D0">
        <w:rPr>
          <w:rFonts w:ascii="Times New Roman" w:hAnsi="Times New Roman" w:cs="Times New Roman"/>
          <w:sz w:val="28"/>
          <w:szCs w:val="28"/>
        </w:rPr>
        <w:t>, operazione che, sia pure rimessa dal Principio contabile applicato (paragrafo 3.3) alle amministrazioni territoriali</w:t>
      </w:r>
      <w:r w:rsidR="00F02787">
        <w:rPr>
          <w:rFonts w:ascii="Times New Roman" w:hAnsi="Times New Roman" w:cs="Times New Roman"/>
          <w:sz w:val="28"/>
          <w:szCs w:val="28"/>
        </w:rPr>
        <w:t xml:space="preserve">, </w:t>
      </w:r>
      <w:r w:rsidR="00F02787" w:rsidRPr="00045D08">
        <w:rPr>
          <w:rFonts w:ascii="Times New Roman" w:hAnsi="Times New Roman" w:cs="Times New Roman"/>
          <w:sz w:val="28"/>
          <w:szCs w:val="28"/>
          <w:u w:val="single"/>
        </w:rPr>
        <w:t>non può considerarsi “libera”, ma va discrezionalmente motivata</w:t>
      </w:r>
      <w:r w:rsidR="00F02787">
        <w:rPr>
          <w:rFonts w:ascii="Times New Roman" w:hAnsi="Times New Roman" w:cs="Times New Roman"/>
          <w:sz w:val="28"/>
          <w:szCs w:val="28"/>
        </w:rPr>
        <w:t>, in ragione del tas</w:t>
      </w:r>
      <w:r w:rsidR="00246FBF">
        <w:rPr>
          <w:rFonts w:ascii="Times New Roman" w:hAnsi="Times New Roman" w:cs="Times New Roman"/>
          <w:sz w:val="28"/>
          <w:szCs w:val="28"/>
        </w:rPr>
        <w:t>s</w:t>
      </w:r>
      <w:r w:rsidR="00F02787">
        <w:rPr>
          <w:rFonts w:ascii="Times New Roman" w:hAnsi="Times New Roman" w:cs="Times New Roman"/>
          <w:sz w:val="28"/>
          <w:szCs w:val="28"/>
        </w:rPr>
        <w:t>o di riscossione registrato dalle singole tipologie di entrata in esercizi precedenti (oppure in ragione di eventuali ulteriori elementi di fatto o di diritto, come, per esempio, la natura del soggetto debitore).</w:t>
      </w:r>
    </w:p>
    <w:p w14:paraId="1470BA77" w14:textId="5C53C2B3" w:rsidR="002C2F70" w:rsidRPr="00321C0F" w:rsidRDefault="002C2F70" w:rsidP="002C2F70">
      <w:pPr>
        <w:pStyle w:val="Corpotesto"/>
        <w:spacing w:before="0" w:after="120"/>
        <w:jc w:val="both"/>
        <w:rPr>
          <w:rFonts w:ascii="Times New Roman" w:hAnsi="Times New Roman" w:cs="Times New Roman"/>
          <w:sz w:val="28"/>
          <w:szCs w:val="28"/>
        </w:rPr>
      </w:pPr>
      <w:r w:rsidRPr="00EA729F">
        <w:rPr>
          <w:rFonts w:ascii="Times New Roman" w:hAnsi="Times New Roman" w:cs="Times New Roman"/>
          <w:sz w:val="28"/>
          <w:szCs w:val="28"/>
          <w:u w:val="single"/>
        </w:rPr>
        <w:t>Non sono oggetto di svalutazione</w:t>
      </w:r>
      <w:r w:rsidR="00045D08" w:rsidRPr="00EA729F">
        <w:rPr>
          <w:rFonts w:ascii="Times New Roman" w:hAnsi="Times New Roman" w:cs="Times New Roman"/>
          <w:sz w:val="28"/>
          <w:szCs w:val="28"/>
          <w:u w:val="single"/>
        </w:rPr>
        <w:t>, invece, per espressa previsione</w:t>
      </w:r>
      <w:r w:rsidR="00045D08">
        <w:rPr>
          <w:rFonts w:ascii="Times New Roman" w:hAnsi="Times New Roman" w:cs="Times New Roman"/>
          <w:sz w:val="28"/>
          <w:szCs w:val="28"/>
        </w:rPr>
        <w:t xml:space="preserve"> del P</w:t>
      </w:r>
      <w:r w:rsidR="00045D08" w:rsidRPr="00321C0F">
        <w:rPr>
          <w:rFonts w:ascii="Times New Roman" w:hAnsi="Times New Roman" w:cs="Times New Roman"/>
          <w:sz w:val="28"/>
          <w:szCs w:val="28"/>
        </w:rPr>
        <w:t>rincipi</w:t>
      </w:r>
      <w:r w:rsidR="00045D08">
        <w:rPr>
          <w:rFonts w:ascii="Times New Roman" w:hAnsi="Times New Roman" w:cs="Times New Roman"/>
          <w:sz w:val="28"/>
          <w:szCs w:val="28"/>
        </w:rPr>
        <w:t>o contabile applicato concernente la contabilità finanziaria,</w:t>
      </w:r>
      <w:r w:rsidRPr="00321C0F">
        <w:rPr>
          <w:rFonts w:ascii="Times New Roman" w:hAnsi="Times New Roman" w:cs="Times New Roman"/>
          <w:sz w:val="28"/>
          <w:szCs w:val="28"/>
        </w:rPr>
        <w:t xml:space="preserve"> i crediti da altre amministrazioni pubbliche, </w:t>
      </w:r>
      <w:r w:rsidR="00045D08">
        <w:rPr>
          <w:rFonts w:ascii="Times New Roman" w:hAnsi="Times New Roman" w:cs="Times New Roman"/>
          <w:sz w:val="28"/>
          <w:szCs w:val="28"/>
        </w:rPr>
        <w:t xml:space="preserve">quelli </w:t>
      </w:r>
      <w:r w:rsidR="009A42AA">
        <w:rPr>
          <w:rFonts w:ascii="Times New Roman" w:hAnsi="Times New Roman" w:cs="Times New Roman"/>
          <w:sz w:val="28"/>
          <w:szCs w:val="28"/>
        </w:rPr>
        <w:t xml:space="preserve">garantiti </w:t>
      </w:r>
      <w:r w:rsidRPr="00321C0F">
        <w:rPr>
          <w:rFonts w:ascii="Times New Roman" w:hAnsi="Times New Roman" w:cs="Times New Roman"/>
          <w:sz w:val="28"/>
          <w:szCs w:val="28"/>
        </w:rPr>
        <w:t>da fidejussione e le entrat</w:t>
      </w:r>
      <w:r w:rsidR="00F02787">
        <w:rPr>
          <w:rFonts w:ascii="Times New Roman" w:hAnsi="Times New Roman" w:cs="Times New Roman"/>
          <w:sz w:val="28"/>
          <w:szCs w:val="28"/>
        </w:rPr>
        <w:t>e tributarie che, sulla base del</w:t>
      </w:r>
      <w:r w:rsidRPr="00321C0F">
        <w:rPr>
          <w:rFonts w:ascii="Times New Roman" w:hAnsi="Times New Roman" w:cs="Times New Roman"/>
          <w:sz w:val="28"/>
          <w:szCs w:val="28"/>
        </w:rPr>
        <w:t xml:space="preserve"> </w:t>
      </w:r>
      <w:r w:rsidR="00045D08">
        <w:rPr>
          <w:rFonts w:ascii="Times New Roman" w:hAnsi="Times New Roman" w:cs="Times New Roman"/>
          <w:sz w:val="28"/>
          <w:szCs w:val="28"/>
        </w:rPr>
        <w:t xml:space="preserve">medesimo </w:t>
      </w:r>
      <w:r w:rsidR="00F02787">
        <w:rPr>
          <w:rFonts w:ascii="Times New Roman" w:hAnsi="Times New Roman" w:cs="Times New Roman"/>
          <w:sz w:val="28"/>
          <w:szCs w:val="28"/>
        </w:rPr>
        <w:t>P</w:t>
      </w:r>
      <w:r w:rsidRPr="00321C0F">
        <w:rPr>
          <w:rFonts w:ascii="Times New Roman" w:hAnsi="Times New Roman" w:cs="Times New Roman"/>
          <w:sz w:val="28"/>
          <w:szCs w:val="28"/>
        </w:rPr>
        <w:t>rincipi</w:t>
      </w:r>
      <w:r w:rsidR="00F02787">
        <w:rPr>
          <w:rFonts w:ascii="Times New Roman" w:hAnsi="Times New Roman" w:cs="Times New Roman"/>
          <w:sz w:val="28"/>
          <w:szCs w:val="28"/>
        </w:rPr>
        <w:t>o (</w:t>
      </w:r>
      <w:r w:rsidRPr="00321C0F">
        <w:rPr>
          <w:rFonts w:ascii="Times New Roman" w:hAnsi="Times New Roman" w:cs="Times New Roman"/>
          <w:sz w:val="28"/>
          <w:szCs w:val="28"/>
        </w:rPr>
        <w:t>paragrafo 3.7</w:t>
      </w:r>
      <w:r w:rsidR="00F02787">
        <w:rPr>
          <w:rFonts w:ascii="Times New Roman" w:hAnsi="Times New Roman" w:cs="Times New Roman"/>
          <w:sz w:val="28"/>
          <w:szCs w:val="28"/>
        </w:rPr>
        <w:t>)</w:t>
      </w:r>
      <w:r w:rsidRPr="00321C0F">
        <w:rPr>
          <w:rFonts w:ascii="Times New Roman" w:hAnsi="Times New Roman" w:cs="Times New Roman"/>
          <w:sz w:val="28"/>
          <w:szCs w:val="28"/>
        </w:rPr>
        <w:t xml:space="preserve">, </w:t>
      </w:r>
      <w:r w:rsidR="00F02787">
        <w:rPr>
          <w:rFonts w:ascii="Times New Roman" w:hAnsi="Times New Roman" w:cs="Times New Roman"/>
          <w:sz w:val="28"/>
          <w:szCs w:val="28"/>
        </w:rPr>
        <w:t>vanno</w:t>
      </w:r>
      <w:r w:rsidRPr="00321C0F">
        <w:rPr>
          <w:rFonts w:ascii="Times New Roman" w:hAnsi="Times New Roman" w:cs="Times New Roman"/>
          <w:sz w:val="28"/>
          <w:szCs w:val="28"/>
        </w:rPr>
        <w:t xml:space="preserve"> accertate per cassa. </w:t>
      </w:r>
    </w:p>
    <w:p w14:paraId="62BA37A2" w14:textId="444848EE" w:rsidR="008D6E5F" w:rsidRDefault="002C2F70" w:rsidP="002C2F70">
      <w:pPr>
        <w:pStyle w:val="Corpotesto"/>
        <w:spacing w:before="0" w:after="120"/>
        <w:jc w:val="both"/>
        <w:rPr>
          <w:rFonts w:ascii="Times New Roman" w:hAnsi="Times New Roman" w:cs="Times New Roman"/>
          <w:sz w:val="28"/>
          <w:szCs w:val="28"/>
        </w:rPr>
      </w:pPr>
      <w:r w:rsidRPr="00321C0F">
        <w:rPr>
          <w:rFonts w:ascii="Times New Roman" w:hAnsi="Times New Roman" w:cs="Times New Roman"/>
          <w:sz w:val="28"/>
          <w:szCs w:val="28"/>
        </w:rPr>
        <w:t>Non sono altresì oggetto di svalutazione le entrate di dubbia e difficile esazione riguardanti entrate riscosse da un ente per conto di un altro ente e destinate ad essere versa</w:t>
      </w:r>
      <w:r w:rsidR="00F02787">
        <w:rPr>
          <w:rFonts w:ascii="Times New Roman" w:hAnsi="Times New Roman" w:cs="Times New Roman"/>
          <w:sz w:val="28"/>
          <w:szCs w:val="28"/>
        </w:rPr>
        <w:t>te all'ente beneficiario finale (fattispecie in cui i</w:t>
      </w:r>
      <w:r w:rsidRPr="00321C0F">
        <w:rPr>
          <w:rFonts w:ascii="Times New Roman" w:hAnsi="Times New Roman" w:cs="Times New Roman"/>
          <w:sz w:val="28"/>
          <w:szCs w:val="28"/>
        </w:rPr>
        <w:t>l fondo crediti di dubbia e</w:t>
      </w:r>
      <w:r w:rsidR="00F02787">
        <w:rPr>
          <w:rFonts w:ascii="Times New Roman" w:hAnsi="Times New Roman" w:cs="Times New Roman"/>
          <w:sz w:val="28"/>
          <w:szCs w:val="28"/>
        </w:rPr>
        <w:t>sigibilità va</w:t>
      </w:r>
      <w:r w:rsidRPr="00321C0F">
        <w:rPr>
          <w:rFonts w:ascii="Times New Roman" w:hAnsi="Times New Roman" w:cs="Times New Roman"/>
          <w:sz w:val="28"/>
          <w:szCs w:val="28"/>
        </w:rPr>
        <w:t xml:space="preserve"> accantonat</w:t>
      </w:r>
      <w:r>
        <w:rPr>
          <w:rFonts w:ascii="Times New Roman" w:hAnsi="Times New Roman" w:cs="Times New Roman"/>
          <w:sz w:val="28"/>
          <w:szCs w:val="28"/>
        </w:rPr>
        <w:t>o dall'ente beneficiario finale</w:t>
      </w:r>
      <w:r w:rsidR="008D6E5F" w:rsidRPr="002C2F70">
        <w:rPr>
          <w:rStyle w:val="Rimandonotaapidipagina"/>
          <w:rFonts w:ascii="Times New Roman" w:hAnsi="Times New Roman" w:cs="Times New Roman"/>
          <w:sz w:val="28"/>
          <w:szCs w:val="28"/>
        </w:rPr>
        <w:footnoteReference w:id="44"/>
      </w:r>
      <w:r w:rsidR="00F02787">
        <w:rPr>
          <w:rFonts w:ascii="Times New Roman" w:hAnsi="Times New Roman" w:cs="Times New Roman"/>
          <w:sz w:val="28"/>
          <w:szCs w:val="28"/>
        </w:rPr>
        <w:t>)</w:t>
      </w:r>
      <w:r w:rsidRPr="002C2F70">
        <w:rPr>
          <w:rFonts w:ascii="Times New Roman" w:hAnsi="Times New Roman" w:cs="Times New Roman"/>
          <w:sz w:val="28"/>
          <w:szCs w:val="28"/>
        </w:rPr>
        <w:t>.</w:t>
      </w:r>
    </w:p>
    <w:p w14:paraId="3F234636" w14:textId="6E654ECA" w:rsidR="00171FFB" w:rsidRPr="006309F9" w:rsidRDefault="00283425" w:rsidP="005C2E3B">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 xml:space="preserve">Dall’altro lato, </w:t>
      </w:r>
      <w:r w:rsidR="00F02787">
        <w:rPr>
          <w:rFonts w:ascii="Times New Roman" w:hAnsi="Times New Roman" w:cs="Times New Roman"/>
          <w:sz w:val="28"/>
          <w:szCs w:val="28"/>
        </w:rPr>
        <w:t xml:space="preserve">si è posto il problema di </w:t>
      </w:r>
      <w:r w:rsidR="00F02787" w:rsidRPr="008B0473">
        <w:rPr>
          <w:rFonts w:ascii="Times New Roman" w:hAnsi="Times New Roman" w:cs="Times New Roman"/>
          <w:sz w:val="28"/>
          <w:szCs w:val="28"/>
          <w:u w:val="single"/>
        </w:rPr>
        <w:t>evitare</w:t>
      </w:r>
      <w:r w:rsidR="00171FFB" w:rsidRPr="008B0473">
        <w:rPr>
          <w:rFonts w:ascii="Times New Roman" w:hAnsi="Times New Roman" w:cs="Times New Roman"/>
          <w:sz w:val="28"/>
          <w:szCs w:val="28"/>
          <w:u w:val="single"/>
        </w:rPr>
        <w:t xml:space="preserve"> atteggiamenti </w:t>
      </w:r>
      <w:r w:rsidRPr="008B0473">
        <w:rPr>
          <w:rFonts w:ascii="Times New Roman" w:hAnsi="Times New Roman" w:cs="Times New Roman"/>
          <w:sz w:val="28"/>
          <w:szCs w:val="28"/>
          <w:u w:val="single"/>
        </w:rPr>
        <w:t>contabili</w:t>
      </w:r>
      <w:r w:rsidR="00171FFB" w:rsidRPr="008B0473">
        <w:rPr>
          <w:rFonts w:ascii="Times New Roman" w:hAnsi="Times New Roman" w:cs="Times New Roman"/>
          <w:sz w:val="28"/>
          <w:szCs w:val="28"/>
          <w:u w:val="single"/>
        </w:rPr>
        <w:t xml:space="preserve"> volti a eliminare dal rendiconto obbligazioni giuridiche perfezionate e scadute</w:t>
      </w:r>
      <w:r>
        <w:rPr>
          <w:rFonts w:ascii="Times New Roman" w:hAnsi="Times New Roman" w:cs="Times New Roman"/>
          <w:sz w:val="28"/>
          <w:szCs w:val="28"/>
        </w:rPr>
        <w:t xml:space="preserve"> (residui attivi/crediti) </w:t>
      </w:r>
      <w:r w:rsidR="00805989">
        <w:rPr>
          <w:rFonts w:ascii="Times New Roman" w:hAnsi="Times New Roman" w:cs="Times New Roman"/>
          <w:sz w:val="28"/>
          <w:szCs w:val="28"/>
        </w:rPr>
        <w:t xml:space="preserve">di difficile esazione, </w:t>
      </w:r>
      <w:r w:rsidR="00F02787">
        <w:rPr>
          <w:rFonts w:ascii="Times New Roman" w:hAnsi="Times New Roman" w:cs="Times New Roman"/>
          <w:sz w:val="28"/>
          <w:szCs w:val="28"/>
        </w:rPr>
        <w:t xml:space="preserve">operazione </w:t>
      </w:r>
      <w:r w:rsidR="00805989">
        <w:rPr>
          <w:rFonts w:ascii="Times New Roman" w:hAnsi="Times New Roman" w:cs="Times New Roman"/>
          <w:sz w:val="28"/>
          <w:szCs w:val="28"/>
        </w:rPr>
        <w:t xml:space="preserve">che </w:t>
      </w:r>
      <w:r w:rsidR="00F02787">
        <w:rPr>
          <w:rFonts w:ascii="Times New Roman" w:hAnsi="Times New Roman" w:cs="Times New Roman"/>
          <w:sz w:val="28"/>
          <w:szCs w:val="28"/>
        </w:rPr>
        <w:t xml:space="preserve">ha </w:t>
      </w:r>
      <w:r w:rsidR="00171FFB" w:rsidRPr="006309F9">
        <w:rPr>
          <w:rFonts w:ascii="Times New Roman" w:hAnsi="Times New Roman" w:cs="Times New Roman"/>
          <w:sz w:val="28"/>
          <w:szCs w:val="28"/>
        </w:rPr>
        <w:t>riflessi sulla responsabilità connessa alla cura delle entrate pubbliche e comport</w:t>
      </w:r>
      <w:r w:rsidR="00805989">
        <w:rPr>
          <w:rFonts w:ascii="Times New Roman" w:hAnsi="Times New Roman" w:cs="Times New Roman"/>
          <w:sz w:val="28"/>
          <w:szCs w:val="28"/>
        </w:rPr>
        <w:t>are</w:t>
      </w:r>
      <w:r w:rsidR="00171FFB" w:rsidRPr="006309F9">
        <w:rPr>
          <w:rFonts w:ascii="Times New Roman" w:hAnsi="Times New Roman" w:cs="Times New Roman"/>
          <w:sz w:val="28"/>
          <w:szCs w:val="28"/>
        </w:rPr>
        <w:t xml:space="preserve"> alterazioni dei risultati di amministrazione</w:t>
      </w:r>
      <w:r>
        <w:rPr>
          <w:rStyle w:val="Rimandonotaapidipagina"/>
          <w:rFonts w:ascii="Times New Roman" w:hAnsi="Times New Roman" w:cs="Times New Roman"/>
          <w:sz w:val="28"/>
          <w:szCs w:val="28"/>
        </w:rPr>
        <w:footnoteReference w:id="45"/>
      </w:r>
      <w:r w:rsidR="00805989">
        <w:rPr>
          <w:rFonts w:ascii="Times New Roman" w:hAnsi="Times New Roman" w:cs="Times New Roman"/>
          <w:sz w:val="28"/>
          <w:szCs w:val="28"/>
        </w:rPr>
        <w:t>. Sul punto, tuttavia, il paragrafo 9 del Principio contabile applicato, Allegato 4/2 al d.lgs. n. 118/2011, riguardante l’operazione di annuale riaccertamento (ordinario) dei residui attivi, dopo aver ricordato, c</w:t>
      </w:r>
      <w:r w:rsidR="00805989" w:rsidRPr="00805989">
        <w:rPr>
          <w:rFonts w:ascii="Times New Roman" w:hAnsi="Times New Roman" w:cs="Times New Roman"/>
          <w:sz w:val="28"/>
          <w:szCs w:val="28"/>
        </w:rPr>
        <w:t xml:space="preserve">on riferimento ai crediti di dubbia e difficile esazione, </w:t>
      </w:r>
      <w:r w:rsidR="00805989">
        <w:rPr>
          <w:rFonts w:ascii="Times New Roman" w:hAnsi="Times New Roman" w:cs="Times New Roman"/>
          <w:sz w:val="28"/>
          <w:szCs w:val="28"/>
        </w:rPr>
        <w:t xml:space="preserve">la necessità di </w:t>
      </w:r>
      <w:r w:rsidR="00805989" w:rsidRPr="00805989">
        <w:rPr>
          <w:rFonts w:ascii="Times New Roman" w:hAnsi="Times New Roman" w:cs="Times New Roman"/>
          <w:sz w:val="28"/>
          <w:szCs w:val="28"/>
        </w:rPr>
        <w:t>procede</w:t>
      </w:r>
      <w:r w:rsidR="00805989">
        <w:rPr>
          <w:rFonts w:ascii="Times New Roman" w:hAnsi="Times New Roman" w:cs="Times New Roman"/>
          <w:sz w:val="28"/>
          <w:szCs w:val="28"/>
        </w:rPr>
        <w:t xml:space="preserve">re al prescritto </w:t>
      </w:r>
      <w:r w:rsidR="00805989" w:rsidRPr="00805989">
        <w:rPr>
          <w:rFonts w:ascii="Times New Roman" w:hAnsi="Times New Roman" w:cs="Times New Roman"/>
          <w:sz w:val="28"/>
          <w:szCs w:val="28"/>
        </w:rPr>
        <w:t>accantonamento a</w:t>
      </w:r>
      <w:r w:rsidR="00805989">
        <w:rPr>
          <w:rFonts w:ascii="Times New Roman" w:hAnsi="Times New Roman" w:cs="Times New Roman"/>
          <w:sz w:val="28"/>
          <w:szCs w:val="28"/>
        </w:rPr>
        <w:t xml:space="preserve"> FCDE (</w:t>
      </w:r>
      <w:r w:rsidR="008B0473">
        <w:rPr>
          <w:rFonts w:ascii="Times New Roman" w:hAnsi="Times New Roman" w:cs="Times New Roman"/>
          <w:sz w:val="28"/>
          <w:szCs w:val="28"/>
        </w:rPr>
        <w:t xml:space="preserve">quale </w:t>
      </w:r>
      <w:r w:rsidR="00805989" w:rsidRPr="00805989">
        <w:rPr>
          <w:rFonts w:ascii="Times New Roman" w:hAnsi="Times New Roman" w:cs="Times New Roman"/>
          <w:sz w:val="28"/>
          <w:szCs w:val="28"/>
        </w:rPr>
        <w:t>quota del</w:t>
      </w:r>
      <w:r w:rsidR="008B0473">
        <w:rPr>
          <w:rFonts w:ascii="Times New Roman" w:hAnsi="Times New Roman" w:cs="Times New Roman"/>
          <w:sz w:val="28"/>
          <w:szCs w:val="28"/>
        </w:rPr>
        <w:t xml:space="preserve"> risultato di </w:t>
      </w:r>
      <w:r w:rsidR="00805989" w:rsidRPr="00805989">
        <w:rPr>
          <w:rFonts w:ascii="Times New Roman" w:hAnsi="Times New Roman" w:cs="Times New Roman"/>
          <w:sz w:val="28"/>
          <w:szCs w:val="28"/>
        </w:rPr>
        <w:t>amministrazione</w:t>
      </w:r>
      <w:r w:rsidR="00805989">
        <w:rPr>
          <w:rFonts w:ascii="Times New Roman" w:hAnsi="Times New Roman" w:cs="Times New Roman"/>
          <w:sz w:val="28"/>
          <w:szCs w:val="28"/>
        </w:rPr>
        <w:t>)</w:t>
      </w:r>
      <w:r w:rsidR="00805989">
        <w:rPr>
          <w:rStyle w:val="Rimandonotaapidipagina"/>
          <w:rFonts w:ascii="Times New Roman" w:hAnsi="Times New Roman" w:cs="Times New Roman"/>
          <w:sz w:val="28"/>
          <w:szCs w:val="28"/>
        </w:rPr>
        <w:footnoteReference w:id="46"/>
      </w:r>
      <w:r w:rsidR="00805989">
        <w:rPr>
          <w:rFonts w:ascii="Times New Roman" w:hAnsi="Times New Roman" w:cs="Times New Roman"/>
          <w:sz w:val="28"/>
          <w:szCs w:val="28"/>
        </w:rPr>
        <w:t>, dispone che, t</w:t>
      </w:r>
      <w:r w:rsidR="00805989" w:rsidRPr="00805989">
        <w:rPr>
          <w:rFonts w:ascii="Times New Roman" w:hAnsi="Times New Roman" w:cs="Times New Roman"/>
          <w:sz w:val="28"/>
          <w:szCs w:val="28"/>
        </w:rPr>
        <w:t xml:space="preserve">rascorsi tre anni dalla scadenza di un credito di dubbia e difficile esazione non riscosso, il responsabile del servizio competente alla gestione dell'entrata </w:t>
      </w:r>
      <w:r w:rsidR="00805989">
        <w:rPr>
          <w:rFonts w:ascii="Times New Roman" w:hAnsi="Times New Roman" w:cs="Times New Roman"/>
          <w:sz w:val="28"/>
          <w:szCs w:val="28"/>
        </w:rPr>
        <w:t>“</w:t>
      </w:r>
      <w:r w:rsidR="00805989" w:rsidRPr="00F02787">
        <w:rPr>
          <w:rFonts w:ascii="Times New Roman" w:hAnsi="Times New Roman" w:cs="Times New Roman"/>
          <w:i/>
          <w:sz w:val="28"/>
          <w:szCs w:val="28"/>
        </w:rPr>
        <w:t>valuta l'opportunità</w:t>
      </w:r>
      <w:r w:rsidR="00805989">
        <w:rPr>
          <w:rFonts w:ascii="Times New Roman" w:hAnsi="Times New Roman" w:cs="Times New Roman"/>
          <w:sz w:val="28"/>
          <w:szCs w:val="28"/>
        </w:rPr>
        <w:t>”</w:t>
      </w:r>
      <w:r w:rsidR="00076DD7">
        <w:rPr>
          <w:rFonts w:ascii="Times New Roman" w:hAnsi="Times New Roman" w:cs="Times New Roman"/>
          <w:sz w:val="28"/>
          <w:szCs w:val="28"/>
        </w:rPr>
        <w:t xml:space="preserve"> di operarne</w:t>
      </w:r>
      <w:r w:rsidR="00805989" w:rsidRPr="00805989">
        <w:rPr>
          <w:rFonts w:ascii="Times New Roman" w:hAnsi="Times New Roman" w:cs="Times New Roman"/>
          <w:sz w:val="28"/>
          <w:szCs w:val="28"/>
        </w:rPr>
        <w:t xml:space="preserve"> lo stralcio dal conto del bilancio, </w:t>
      </w:r>
      <w:r w:rsidR="00076DD7">
        <w:rPr>
          <w:rFonts w:ascii="Times New Roman" w:hAnsi="Times New Roman" w:cs="Times New Roman"/>
          <w:sz w:val="28"/>
          <w:szCs w:val="28"/>
        </w:rPr>
        <w:t>“</w:t>
      </w:r>
      <w:r w:rsidR="00805989" w:rsidRPr="00076DD7">
        <w:rPr>
          <w:rFonts w:ascii="Times New Roman" w:hAnsi="Times New Roman" w:cs="Times New Roman"/>
          <w:i/>
          <w:sz w:val="28"/>
          <w:szCs w:val="28"/>
        </w:rPr>
        <w:t>riducendo di pari importo il fondo crediti di dubbia esigibilità accantonato nel risultato di amministrazione</w:t>
      </w:r>
      <w:r w:rsidR="00076DD7">
        <w:rPr>
          <w:rFonts w:ascii="Times New Roman" w:hAnsi="Times New Roman" w:cs="Times New Roman"/>
          <w:sz w:val="28"/>
          <w:szCs w:val="28"/>
        </w:rPr>
        <w:t>”</w:t>
      </w:r>
      <w:r w:rsidR="00805989" w:rsidRPr="00805989">
        <w:rPr>
          <w:rFonts w:ascii="Times New Roman" w:hAnsi="Times New Roman" w:cs="Times New Roman"/>
          <w:sz w:val="28"/>
          <w:szCs w:val="28"/>
        </w:rPr>
        <w:t>.</w:t>
      </w:r>
      <w:r w:rsidR="005C2E3B">
        <w:rPr>
          <w:rFonts w:ascii="Times New Roman" w:hAnsi="Times New Roman" w:cs="Times New Roman"/>
          <w:sz w:val="28"/>
          <w:szCs w:val="28"/>
        </w:rPr>
        <w:t xml:space="preserve"> </w:t>
      </w:r>
      <w:r w:rsidR="00805989" w:rsidRPr="00805989">
        <w:rPr>
          <w:rFonts w:ascii="Times New Roman" w:hAnsi="Times New Roman" w:cs="Times New Roman"/>
          <w:sz w:val="28"/>
          <w:szCs w:val="28"/>
        </w:rPr>
        <w:t xml:space="preserve"> </w:t>
      </w:r>
      <w:r w:rsidR="00171FFB" w:rsidRPr="006309F9">
        <w:rPr>
          <w:rFonts w:ascii="Times New Roman" w:hAnsi="Times New Roman" w:cs="Times New Roman"/>
          <w:sz w:val="28"/>
          <w:szCs w:val="28"/>
        </w:rPr>
        <w:t xml:space="preserve"> </w:t>
      </w:r>
    </w:p>
    <w:p w14:paraId="63560EE4" w14:textId="3F8C8EFF" w:rsidR="00171FFB" w:rsidRPr="006309F9" w:rsidRDefault="005C2E3B" w:rsidP="005C2E3B">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In disparte le antinomie presenti nel Principio contabile applicato</w:t>
      </w:r>
      <w:r w:rsidR="008B0473">
        <w:rPr>
          <w:rStyle w:val="Rimandonotaapidipagina"/>
          <w:rFonts w:ascii="Times New Roman" w:hAnsi="Times New Roman" w:cs="Times New Roman"/>
          <w:i/>
          <w:sz w:val="28"/>
          <w:szCs w:val="28"/>
        </w:rPr>
        <w:footnoteReference w:id="47"/>
      </w:r>
      <w:r>
        <w:rPr>
          <w:rFonts w:ascii="Times New Roman" w:hAnsi="Times New Roman" w:cs="Times New Roman"/>
          <w:sz w:val="28"/>
          <w:szCs w:val="28"/>
        </w:rPr>
        <w:t>, il fondo crediti di dubbia esigibilità costituisce</w:t>
      </w:r>
      <w:r w:rsidR="007E50E3">
        <w:rPr>
          <w:rFonts w:ascii="Times New Roman" w:hAnsi="Times New Roman" w:cs="Times New Roman"/>
          <w:sz w:val="28"/>
          <w:szCs w:val="28"/>
        </w:rPr>
        <w:t>, con evidenza,</w:t>
      </w:r>
      <w:r>
        <w:rPr>
          <w:rFonts w:ascii="Times New Roman" w:hAnsi="Times New Roman" w:cs="Times New Roman"/>
          <w:sz w:val="28"/>
          <w:szCs w:val="28"/>
        </w:rPr>
        <w:t xml:space="preserve"> lo strumento atto a prevenire eventuali futuri squilibri di bilancio. In tale ottica, </w:t>
      </w:r>
      <w:r w:rsidR="00171FFB" w:rsidRPr="008B0473">
        <w:rPr>
          <w:rFonts w:ascii="Times New Roman" w:hAnsi="Times New Roman" w:cs="Times New Roman"/>
          <w:sz w:val="28"/>
          <w:szCs w:val="28"/>
          <w:u w:val="single"/>
        </w:rPr>
        <w:t xml:space="preserve">fino a quando il </w:t>
      </w:r>
      <w:proofErr w:type="gramStart"/>
      <w:r w:rsidRPr="008B0473">
        <w:rPr>
          <w:rFonts w:ascii="Times New Roman" w:hAnsi="Times New Roman" w:cs="Times New Roman"/>
          <w:sz w:val="28"/>
          <w:szCs w:val="28"/>
          <w:u w:val="single"/>
        </w:rPr>
        <w:t>predetto</w:t>
      </w:r>
      <w:proofErr w:type="gramEnd"/>
      <w:r w:rsidRPr="008B0473">
        <w:rPr>
          <w:rFonts w:ascii="Times New Roman" w:hAnsi="Times New Roman" w:cs="Times New Roman"/>
          <w:sz w:val="28"/>
          <w:szCs w:val="28"/>
          <w:u w:val="single"/>
        </w:rPr>
        <w:t xml:space="preserve"> </w:t>
      </w:r>
      <w:r w:rsidR="00171FFB" w:rsidRPr="008B0473">
        <w:rPr>
          <w:rFonts w:ascii="Times New Roman" w:hAnsi="Times New Roman" w:cs="Times New Roman"/>
          <w:sz w:val="28"/>
          <w:szCs w:val="28"/>
          <w:u w:val="single"/>
        </w:rPr>
        <w:t xml:space="preserve">fondo non risulti adeguato, </w:t>
      </w:r>
      <w:r w:rsidRPr="008B0473">
        <w:rPr>
          <w:rFonts w:ascii="Times New Roman" w:hAnsi="Times New Roman" w:cs="Times New Roman"/>
          <w:sz w:val="28"/>
          <w:szCs w:val="28"/>
          <w:u w:val="single"/>
        </w:rPr>
        <w:t xml:space="preserve">la norma vieta agli enti di </w:t>
      </w:r>
      <w:r w:rsidR="00171FFB" w:rsidRPr="008B0473">
        <w:rPr>
          <w:rFonts w:ascii="Times New Roman" w:hAnsi="Times New Roman" w:cs="Times New Roman"/>
          <w:sz w:val="28"/>
          <w:szCs w:val="28"/>
          <w:u w:val="single"/>
        </w:rPr>
        <w:t xml:space="preserve">utilizzare l’avanzo </w:t>
      </w:r>
      <w:r w:rsidRPr="008B0473">
        <w:rPr>
          <w:rFonts w:ascii="Times New Roman" w:hAnsi="Times New Roman" w:cs="Times New Roman"/>
          <w:sz w:val="28"/>
          <w:szCs w:val="28"/>
          <w:u w:val="single"/>
        </w:rPr>
        <w:t xml:space="preserve">(libero) </w:t>
      </w:r>
      <w:r w:rsidR="00171FFB" w:rsidRPr="008B0473">
        <w:rPr>
          <w:rFonts w:ascii="Times New Roman" w:hAnsi="Times New Roman" w:cs="Times New Roman"/>
          <w:sz w:val="28"/>
          <w:szCs w:val="28"/>
          <w:u w:val="single"/>
        </w:rPr>
        <w:t>di amministrazione</w:t>
      </w:r>
      <w:r>
        <w:rPr>
          <w:rStyle w:val="Rimandonotaapidipagina"/>
          <w:rFonts w:ascii="Times New Roman" w:hAnsi="Times New Roman" w:cs="Times New Roman"/>
          <w:sz w:val="28"/>
          <w:szCs w:val="28"/>
        </w:rPr>
        <w:footnoteReference w:id="48"/>
      </w:r>
      <w:r w:rsidR="00171FFB" w:rsidRPr="006309F9">
        <w:rPr>
          <w:rFonts w:ascii="Times New Roman" w:hAnsi="Times New Roman" w:cs="Times New Roman"/>
          <w:sz w:val="28"/>
          <w:szCs w:val="28"/>
        </w:rPr>
        <w:t>.</w:t>
      </w:r>
    </w:p>
    <w:p w14:paraId="778635B7" w14:textId="381F00BC" w:rsidR="00171FFB" w:rsidRDefault="00171FFB"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L’</w:t>
      </w:r>
      <w:r w:rsidR="008B0473">
        <w:rPr>
          <w:rFonts w:ascii="Times New Roman" w:hAnsi="Times New Roman" w:cs="Times New Roman"/>
          <w:sz w:val="28"/>
          <w:szCs w:val="28"/>
        </w:rPr>
        <w:t xml:space="preserve">eventuale </w:t>
      </w:r>
      <w:r w:rsidRPr="006309F9">
        <w:rPr>
          <w:rFonts w:ascii="Times New Roman" w:hAnsi="Times New Roman" w:cs="Times New Roman"/>
          <w:sz w:val="28"/>
          <w:szCs w:val="28"/>
        </w:rPr>
        <w:t>emer</w:t>
      </w:r>
      <w:r w:rsidR="008B0473">
        <w:rPr>
          <w:rFonts w:ascii="Times New Roman" w:hAnsi="Times New Roman" w:cs="Times New Roman"/>
          <w:sz w:val="28"/>
          <w:szCs w:val="28"/>
        </w:rPr>
        <w:t>sione</w:t>
      </w:r>
      <w:r w:rsidR="008B0473" w:rsidRPr="006309F9">
        <w:rPr>
          <w:rFonts w:ascii="Times New Roman" w:hAnsi="Times New Roman" w:cs="Times New Roman"/>
          <w:sz w:val="28"/>
          <w:szCs w:val="28"/>
        </w:rPr>
        <w:t xml:space="preserve">, a seguito dell’accantonamento </w:t>
      </w:r>
      <w:r w:rsidR="008B0473">
        <w:rPr>
          <w:rFonts w:ascii="Times New Roman" w:hAnsi="Times New Roman" w:cs="Times New Roman"/>
          <w:sz w:val="28"/>
          <w:szCs w:val="28"/>
        </w:rPr>
        <w:t xml:space="preserve">a </w:t>
      </w:r>
      <w:r w:rsidR="008B0473" w:rsidRPr="006309F9">
        <w:rPr>
          <w:rFonts w:ascii="Times New Roman" w:hAnsi="Times New Roman" w:cs="Times New Roman"/>
          <w:sz w:val="28"/>
          <w:szCs w:val="28"/>
        </w:rPr>
        <w:t>fondo crediti di dubbia esigibilità</w:t>
      </w:r>
      <w:r w:rsidR="008B0473">
        <w:rPr>
          <w:rFonts w:ascii="Times New Roman" w:hAnsi="Times New Roman" w:cs="Times New Roman"/>
          <w:sz w:val="28"/>
          <w:szCs w:val="28"/>
        </w:rPr>
        <w:t>,</w:t>
      </w:r>
      <w:r w:rsidRPr="006309F9">
        <w:rPr>
          <w:rFonts w:ascii="Times New Roman" w:hAnsi="Times New Roman" w:cs="Times New Roman"/>
          <w:sz w:val="28"/>
          <w:szCs w:val="28"/>
        </w:rPr>
        <w:t xml:space="preserve"> di un disavanzo di amministrazione</w:t>
      </w:r>
      <w:r w:rsidR="008B0473">
        <w:rPr>
          <w:rFonts w:ascii="Times New Roman" w:hAnsi="Times New Roman" w:cs="Times New Roman"/>
          <w:sz w:val="28"/>
          <w:szCs w:val="28"/>
        </w:rPr>
        <w:t xml:space="preserve"> è </w:t>
      </w:r>
      <w:r w:rsidRPr="006309F9">
        <w:rPr>
          <w:rFonts w:ascii="Times New Roman" w:hAnsi="Times New Roman" w:cs="Times New Roman"/>
          <w:sz w:val="28"/>
          <w:szCs w:val="28"/>
        </w:rPr>
        <w:t>sintomo</w:t>
      </w:r>
      <w:r w:rsidR="005C2E3B">
        <w:rPr>
          <w:rFonts w:ascii="Times New Roman" w:hAnsi="Times New Roman" w:cs="Times New Roman"/>
          <w:sz w:val="28"/>
          <w:szCs w:val="28"/>
        </w:rPr>
        <w:t>, infatti,</w:t>
      </w:r>
      <w:r w:rsidRPr="006309F9">
        <w:rPr>
          <w:rFonts w:ascii="Times New Roman" w:hAnsi="Times New Roman" w:cs="Times New Roman"/>
          <w:sz w:val="28"/>
          <w:szCs w:val="28"/>
        </w:rPr>
        <w:t xml:space="preserve"> del</w:t>
      </w:r>
      <w:r w:rsidR="005C2E3B">
        <w:rPr>
          <w:rFonts w:ascii="Times New Roman" w:hAnsi="Times New Roman" w:cs="Times New Roman"/>
          <w:sz w:val="28"/>
          <w:szCs w:val="28"/>
        </w:rPr>
        <w:t xml:space="preserve"> pregresso </w:t>
      </w:r>
      <w:r w:rsidRPr="006309F9">
        <w:rPr>
          <w:rFonts w:ascii="Times New Roman" w:hAnsi="Times New Roman" w:cs="Times New Roman"/>
          <w:sz w:val="28"/>
          <w:szCs w:val="28"/>
        </w:rPr>
        <w:t xml:space="preserve">impiego di risorse di cui l’ente non aveva </w:t>
      </w:r>
      <w:r w:rsidR="005C2E3B">
        <w:rPr>
          <w:rFonts w:ascii="Times New Roman" w:hAnsi="Times New Roman" w:cs="Times New Roman"/>
          <w:sz w:val="28"/>
          <w:szCs w:val="28"/>
        </w:rPr>
        <w:t xml:space="preserve">effettiva </w:t>
      </w:r>
      <w:r w:rsidRPr="006309F9">
        <w:rPr>
          <w:rFonts w:ascii="Times New Roman" w:hAnsi="Times New Roman" w:cs="Times New Roman"/>
          <w:sz w:val="28"/>
          <w:szCs w:val="28"/>
        </w:rPr>
        <w:t>disponibilità</w:t>
      </w:r>
      <w:r w:rsidR="005C2E3B">
        <w:rPr>
          <w:rFonts w:ascii="Times New Roman" w:hAnsi="Times New Roman" w:cs="Times New Roman"/>
          <w:sz w:val="28"/>
          <w:szCs w:val="28"/>
        </w:rPr>
        <w:t xml:space="preserve"> (posto che i residui attivi, aventi fonte in accertamenti iscritti </w:t>
      </w:r>
      <w:r w:rsidR="001F17E9">
        <w:rPr>
          <w:rFonts w:ascii="Times New Roman" w:hAnsi="Times New Roman" w:cs="Times New Roman"/>
          <w:sz w:val="28"/>
          <w:szCs w:val="28"/>
        </w:rPr>
        <w:t xml:space="preserve">in </w:t>
      </w:r>
      <w:r w:rsidR="005C2E3B">
        <w:rPr>
          <w:rFonts w:ascii="Times New Roman" w:hAnsi="Times New Roman" w:cs="Times New Roman"/>
          <w:sz w:val="28"/>
          <w:szCs w:val="28"/>
        </w:rPr>
        <w:t>esercizi</w:t>
      </w:r>
      <w:r w:rsidR="001F17E9">
        <w:rPr>
          <w:rFonts w:ascii="Times New Roman" w:hAnsi="Times New Roman" w:cs="Times New Roman"/>
          <w:sz w:val="28"/>
          <w:szCs w:val="28"/>
        </w:rPr>
        <w:t xml:space="preserve"> precedenti</w:t>
      </w:r>
      <w:r w:rsidR="005C2E3B">
        <w:rPr>
          <w:rFonts w:ascii="Times New Roman" w:hAnsi="Times New Roman" w:cs="Times New Roman"/>
          <w:sz w:val="28"/>
          <w:szCs w:val="28"/>
        </w:rPr>
        <w:t>, non si sono tradotti in riscossioni)</w:t>
      </w:r>
      <w:r w:rsidRPr="006309F9">
        <w:rPr>
          <w:rFonts w:ascii="Times New Roman" w:hAnsi="Times New Roman" w:cs="Times New Roman"/>
          <w:sz w:val="28"/>
          <w:szCs w:val="28"/>
        </w:rPr>
        <w:t xml:space="preserve">. Ne consegue la necessità </w:t>
      </w:r>
      <w:r w:rsidR="005C2E3B">
        <w:rPr>
          <w:rFonts w:ascii="Times New Roman" w:hAnsi="Times New Roman" w:cs="Times New Roman"/>
          <w:sz w:val="28"/>
          <w:szCs w:val="28"/>
        </w:rPr>
        <w:t xml:space="preserve">sia </w:t>
      </w:r>
      <w:r w:rsidRPr="006309F9">
        <w:rPr>
          <w:rFonts w:ascii="Times New Roman" w:hAnsi="Times New Roman" w:cs="Times New Roman"/>
          <w:sz w:val="28"/>
          <w:szCs w:val="28"/>
        </w:rPr>
        <w:t xml:space="preserve">di ripianare </w:t>
      </w:r>
      <w:r w:rsidR="005C2E3B">
        <w:rPr>
          <w:rFonts w:ascii="Times New Roman" w:hAnsi="Times New Roman" w:cs="Times New Roman"/>
          <w:sz w:val="28"/>
          <w:szCs w:val="28"/>
        </w:rPr>
        <w:t>la</w:t>
      </w:r>
      <w:r w:rsidRPr="006309F9">
        <w:rPr>
          <w:rFonts w:ascii="Times New Roman" w:hAnsi="Times New Roman" w:cs="Times New Roman"/>
          <w:sz w:val="28"/>
          <w:szCs w:val="28"/>
        </w:rPr>
        <w:t xml:space="preserve"> situazione di disavanzo </w:t>
      </w:r>
      <w:r w:rsidR="005C2E3B">
        <w:rPr>
          <w:rFonts w:ascii="Times New Roman" w:hAnsi="Times New Roman" w:cs="Times New Roman"/>
          <w:sz w:val="28"/>
          <w:szCs w:val="28"/>
        </w:rPr>
        <w:t xml:space="preserve">(cfr. art. 118 d.lgs. n. 267/2000 e art. 42 d.lgs. n. 118/2011) </w:t>
      </w:r>
      <w:r w:rsidRPr="006309F9">
        <w:rPr>
          <w:rFonts w:ascii="Times New Roman" w:hAnsi="Times New Roman" w:cs="Times New Roman"/>
          <w:sz w:val="28"/>
          <w:szCs w:val="28"/>
        </w:rPr>
        <w:t>che, in prospettiva, di adottare appropriati interventi sul piano strutturale dell</w:t>
      </w:r>
      <w:r w:rsidR="005C2E3B">
        <w:rPr>
          <w:rFonts w:ascii="Times New Roman" w:hAnsi="Times New Roman" w:cs="Times New Roman"/>
          <w:sz w:val="28"/>
          <w:szCs w:val="28"/>
        </w:rPr>
        <w:t>a capacità di incasso delle entrate.</w:t>
      </w:r>
    </w:p>
    <w:p w14:paraId="73FBA8E2" w14:textId="047BE353" w:rsidR="008D6E5F" w:rsidRPr="006309F9" w:rsidRDefault="008D6E5F" w:rsidP="007E50E3">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Prima di esaminare i parametri di quantificazione (nel bilancio di previsione e, a rendiconto, nel risultato d’amministrazione), appare opportuno puntualizzare che l’</w:t>
      </w:r>
      <w:r w:rsidRPr="00321C0F">
        <w:rPr>
          <w:rFonts w:ascii="Times New Roman" w:hAnsi="Times New Roman" w:cs="Times New Roman"/>
          <w:sz w:val="28"/>
          <w:szCs w:val="28"/>
        </w:rPr>
        <w:t>acca</w:t>
      </w:r>
      <w:r>
        <w:rPr>
          <w:rFonts w:ascii="Times New Roman" w:hAnsi="Times New Roman" w:cs="Times New Roman"/>
          <w:sz w:val="28"/>
          <w:szCs w:val="28"/>
        </w:rPr>
        <w:t>ntonamento a</w:t>
      </w:r>
      <w:r w:rsidRPr="00321C0F">
        <w:rPr>
          <w:rFonts w:ascii="Times New Roman" w:hAnsi="Times New Roman" w:cs="Times New Roman"/>
          <w:sz w:val="28"/>
          <w:szCs w:val="28"/>
        </w:rPr>
        <w:t xml:space="preserve"> </w:t>
      </w:r>
      <w:r w:rsidR="007E50E3">
        <w:rPr>
          <w:rFonts w:ascii="Times New Roman" w:hAnsi="Times New Roman" w:cs="Times New Roman"/>
          <w:sz w:val="28"/>
          <w:szCs w:val="28"/>
        </w:rPr>
        <w:t xml:space="preserve">FCDE </w:t>
      </w:r>
      <w:r>
        <w:rPr>
          <w:rFonts w:ascii="Times New Roman" w:hAnsi="Times New Roman" w:cs="Times New Roman"/>
          <w:sz w:val="28"/>
          <w:szCs w:val="28"/>
        </w:rPr>
        <w:t xml:space="preserve">(come, del resto, gli altri fondi </w:t>
      </w:r>
      <w:r w:rsidR="0051561E">
        <w:rPr>
          <w:rFonts w:ascii="Times New Roman" w:hAnsi="Times New Roman" w:cs="Times New Roman"/>
          <w:sz w:val="28"/>
          <w:szCs w:val="28"/>
        </w:rPr>
        <w:t>previsti dalla disciplina in materia di armonizzazione dei bilanci o da disposizione ad essa collegate</w:t>
      </w:r>
      <w:r w:rsidR="0051561E">
        <w:rPr>
          <w:rStyle w:val="Rimandonotaapidipagina"/>
          <w:rFonts w:ascii="Times New Roman" w:hAnsi="Times New Roman" w:cs="Times New Roman"/>
          <w:sz w:val="28"/>
          <w:szCs w:val="28"/>
        </w:rPr>
        <w:footnoteReference w:id="49"/>
      </w:r>
      <w:r w:rsidR="0051561E">
        <w:rPr>
          <w:rFonts w:ascii="Times New Roman" w:hAnsi="Times New Roman" w:cs="Times New Roman"/>
          <w:sz w:val="28"/>
          <w:szCs w:val="28"/>
        </w:rPr>
        <w:t>)</w:t>
      </w:r>
      <w:r w:rsidRPr="00321C0F">
        <w:rPr>
          <w:rFonts w:ascii="Times New Roman" w:hAnsi="Times New Roman" w:cs="Times New Roman"/>
          <w:sz w:val="28"/>
          <w:szCs w:val="28"/>
        </w:rPr>
        <w:t xml:space="preserve"> </w:t>
      </w:r>
      <w:r w:rsidRPr="008B0473">
        <w:rPr>
          <w:rFonts w:ascii="Times New Roman" w:hAnsi="Times New Roman" w:cs="Times New Roman"/>
          <w:sz w:val="28"/>
          <w:szCs w:val="28"/>
          <w:u w:val="single"/>
        </w:rPr>
        <w:t>non è oggetto di impegno e</w:t>
      </w:r>
      <w:r w:rsidR="0051561E" w:rsidRPr="008B0473">
        <w:rPr>
          <w:rFonts w:ascii="Times New Roman" w:hAnsi="Times New Roman" w:cs="Times New Roman"/>
          <w:sz w:val="28"/>
          <w:szCs w:val="28"/>
          <w:u w:val="single"/>
        </w:rPr>
        <w:t>, come tale, a fine esercizio</w:t>
      </w:r>
      <w:r w:rsidRPr="008B0473">
        <w:rPr>
          <w:rFonts w:ascii="Times New Roman" w:hAnsi="Times New Roman" w:cs="Times New Roman"/>
          <w:sz w:val="28"/>
          <w:szCs w:val="28"/>
          <w:u w:val="single"/>
        </w:rPr>
        <w:t xml:space="preserve"> genera un'economia di bilancio</w:t>
      </w:r>
      <w:r w:rsidRPr="00321C0F">
        <w:rPr>
          <w:rFonts w:ascii="Times New Roman" w:hAnsi="Times New Roman" w:cs="Times New Roman"/>
          <w:sz w:val="28"/>
          <w:szCs w:val="28"/>
        </w:rPr>
        <w:t xml:space="preserve"> </w:t>
      </w:r>
      <w:r w:rsidR="0051561E">
        <w:rPr>
          <w:rFonts w:ascii="Times New Roman" w:hAnsi="Times New Roman" w:cs="Times New Roman"/>
          <w:sz w:val="28"/>
          <w:szCs w:val="28"/>
        </w:rPr>
        <w:t>(</w:t>
      </w:r>
      <w:r w:rsidRPr="00321C0F">
        <w:rPr>
          <w:rFonts w:ascii="Times New Roman" w:hAnsi="Times New Roman" w:cs="Times New Roman"/>
          <w:sz w:val="28"/>
          <w:szCs w:val="28"/>
        </w:rPr>
        <w:t>che confluisce nel risultato di amministrazione come quota accantonata</w:t>
      </w:r>
      <w:r w:rsidR="0051561E">
        <w:rPr>
          <w:rStyle w:val="Rimandonotaapidipagina"/>
          <w:rFonts w:ascii="Times New Roman" w:hAnsi="Times New Roman" w:cs="Times New Roman"/>
          <w:sz w:val="28"/>
          <w:szCs w:val="28"/>
        </w:rPr>
        <w:footnoteReference w:id="50"/>
      </w:r>
      <w:r w:rsidR="0051561E">
        <w:rPr>
          <w:rFonts w:ascii="Times New Roman" w:hAnsi="Times New Roman" w:cs="Times New Roman"/>
          <w:sz w:val="28"/>
          <w:szCs w:val="28"/>
        </w:rPr>
        <w:t>)</w:t>
      </w:r>
      <w:r w:rsidRPr="00321C0F">
        <w:rPr>
          <w:rFonts w:ascii="Times New Roman" w:hAnsi="Times New Roman" w:cs="Times New Roman"/>
          <w:sz w:val="28"/>
          <w:szCs w:val="28"/>
        </w:rPr>
        <w:t xml:space="preserve">. </w:t>
      </w:r>
      <w:r w:rsidR="0051561E">
        <w:rPr>
          <w:rFonts w:ascii="Times New Roman" w:hAnsi="Times New Roman" w:cs="Times New Roman"/>
          <w:sz w:val="28"/>
          <w:szCs w:val="28"/>
        </w:rPr>
        <w:t>Si tratta della logica conseguenza della natura di mera posta compensativa di entrate, propria del FCDE</w:t>
      </w:r>
      <w:r w:rsidR="00282252">
        <w:rPr>
          <w:rFonts w:ascii="Times New Roman" w:hAnsi="Times New Roman" w:cs="Times New Roman"/>
          <w:sz w:val="28"/>
          <w:szCs w:val="28"/>
        </w:rPr>
        <w:t>, non destinata all’assunzione di un impegno, ma a comprimere l’intera capacità di spesa dell’ente in misura proporzionale al tasso di mancata riscossione delle entrate</w:t>
      </w:r>
      <w:r w:rsidR="00282252">
        <w:rPr>
          <w:rStyle w:val="Rimandonotaapidipagina"/>
          <w:rFonts w:ascii="Times New Roman" w:hAnsi="Times New Roman" w:cs="Times New Roman"/>
          <w:sz w:val="28"/>
          <w:szCs w:val="28"/>
        </w:rPr>
        <w:footnoteReference w:id="51"/>
      </w:r>
      <w:r w:rsidR="007E50E3">
        <w:rPr>
          <w:rFonts w:ascii="Times New Roman" w:hAnsi="Times New Roman" w:cs="Times New Roman"/>
          <w:sz w:val="28"/>
          <w:szCs w:val="28"/>
        </w:rPr>
        <w:t>.</w:t>
      </w:r>
    </w:p>
    <w:p w14:paraId="0569CEFE" w14:textId="3213A339" w:rsidR="005C2E3B" w:rsidRDefault="00FF4D84" w:rsidP="00E74983">
      <w:pPr>
        <w:pStyle w:val="Titolo3"/>
      </w:pPr>
      <w:bookmarkStart w:id="5" w:name="_Toc1148498"/>
      <w:r>
        <w:t>1</w:t>
      </w:r>
      <w:r w:rsidR="007E50E3">
        <w:t xml:space="preserve">.2.1 </w:t>
      </w:r>
      <w:r w:rsidR="00E74983">
        <w:t>Le modalità di quantificazione del fondo crediti di dubbia esigibilità</w:t>
      </w:r>
      <w:bookmarkEnd w:id="5"/>
      <w:r w:rsidR="00E74983">
        <w:t xml:space="preserve"> </w:t>
      </w:r>
    </w:p>
    <w:p w14:paraId="4C3248F4" w14:textId="075BDA31" w:rsidR="00E74983" w:rsidRPr="00321C0F" w:rsidRDefault="00E74983" w:rsidP="00321C0F">
      <w:pPr>
        <w:pStyle w:val="Corpotesto"/>
        <w:spacing w:before="0" w:after="120"/>
        <w:jc w:val="both"/>
        <w:rPr>
          <w:rFonts w:ascii="Times New Roman" w:hAnsi="Times New Roman" w:cs="Times New Roman"/>
          <w:sz w:val="28"/>
          <w:szCs w:val="28"/>
        </w:rPr>
      </w:pPr>
      <w:r w:rsidRPr="00321C0F">
        <w:rPr>
          <w:rFonts w:ascii="Times New Roman" w:hAnsi="Times New Roman" w:cs="Times New Roman"/>
          <w:sz w:val="28"/>
          <w:szCs w:val="28"/>
        </w:rPr>
        <w:t>Il paragrafo 3.3 del Principio contabile applicato della contabilità finanziaria, Allegato 4/2 al d.lgs. n. 118/2011, dopo aver ricordato, come già esposto, che vanno accertate per l'intero importo del credito anche le entrate di dubbia e difficile esazione, per le quali non è certa la riscossione integrale (ad esempio, sanzioni amministrative al codice della strada, oneri di urbanizzazione, proventi derivanti dalla lotta all'evasione, etc.), precisa</w:t>
      </w:r>
      <w:r w:rsidR="00D20544" w:rsidRPr="00321C0F">
        <w:rPr>
          <w:rFonts w:ascii="Times New Roman" w:hAnsi="Times New Roman" w:cs="Times New Roman"/>
          <w:sz w:val="28"/>
          <w:szCs w:val="28"/>
        </w:rPr>
        <w:t>, come primo criterio di quantificazione, che l</w:t>
      </w:r>
      <w:r w:rsidRPr="00321C0F">
        <w:rPr>
          <w:rFonts w:ascii="Times New Roman" w:hAnsi="Times New Roman" w:cs="Times New Roman"/>
          <w:sz w:val="28"/>
          <w:szCs w:val="28"/>
        </w:rPr>
        <w:t>e entrate che</w:t>
      </w:r>
      <w:r w:rsidR="00D20544" w:rsidRPr="00321C0F">
        <w:rPr>
          <w:rFonts w:ascii="Times New Roman" w:hAnsi="Times New Roman" w:cs="Times New Roman"/>
          <w:sz w:val="28"/>
          <w:szCs w:val="28"/>
        </w:rPr>
        <w:t>,</w:t>
      </w:r>
      <w:r w:rsidRPr="00321C0F">
        <w:rPr>
          <w:rFonts w:ascii="Times New Roman" w:hAnsi="Times New Roman" w:cs="Times New Roman"/>
          <w:sz w:val="28"/>
          <w:szCs w:val="28"/>
        </w:rPr>
        <w:t xml:space="preserve"> negli esercizi precedenti a</w:t>
      </w:r>
      <w:r w:rsidR="00D20544" w:rsidRPr="00321C0F">
        <w:rPr>
          <w:rFonts w:ascii="Times New Roman" w:hAnsi="Times New Roman" w:cs="Times New Roman"/>
          <w:sz w:val="28"/>
          <w:szCs w:val="28"/>
        </w:rPr>
        <w:t xml:space="preserve">l 2015 (entrata in vigore a regime del </w:t>
      </w:r>
      <w:r w:rsidRPr="00321C0F">
        <w:rPr>
          <w:rFonts w:ascii="Times New Roman" w:hAnsi="Times New Roman" w:cs="Times New Roman"/>
          <w:sz w:val="28"/>
          <w:szCs w:val="28"/>
        </w:rPr>
        <w:t xml:space="preserve"> </w:t>
      </w:r>
      <w:r w:rsidR="00D20544" w:rsidRPr="00321C0F">
        <w:rPr>
          <w:rFonts w:ascii="Times New Roman" w:hAnsi="Times New Roman" w:cs="Times New Roman"/>
          <w:sz w:val="28"/>
          <w:szCs w:val="28"/>
        </w:rPr>
        <w:t>d.lgs. n. 118/2011), erano accertate “</w:t>
      </w:r>
      <w:r w:rsidR="00D20544" w:rsidRPr="007E50E3">
        <w:rPr>
          <w:rFonts w:ascii="Times New Roman" w:hAnsi="Times New Roman" w:cs="Times New Roman"/>
          <w:i/>
          <w:sz w:val="28"/>
          <w:szCs w:val="28"/>
        </w:rPr>
        <w:t>per cassa</w:t>
      </w:r>
      <w:r w:rsidR="00D20544" w:rsidRPr="00321C0F">
        <w:rPr>
          <w:rFonts w:ascii="Times New Roman" w:hAnsi="Times New Roman" w:cs="Times New Roman"/>
          <w:sz w:val="28"/>
          <w:szCs w:val="28"/>
        </w:rPr>
        <w:t>”</w:t>
      </w:r>
      <w:r w:rsidRPr="00321C0F">
        <w:rPr>
          <w:rFonts w:ascii="Times New Roman" w:hAnsi="Times New Roman" w:cs="Times New Roman"/>
          <w:sz w:val="28"/>
          <w:szCs w:val="28"/>
        </w:rPr>
        <w:t>, devono continuare ad essere accertate per cassa fino al loro esaurimento</w:t>
      </w:r>
      <w:r w:rsidR="007E50E3">
        <w:rPr>
          <w:rStyle w:val="Rimandonotaapidipagina"/>
          <w:rFonts w:ascii="Times New Roman" w:hAnsi="Times New Roman" w:cs="Times New Roman"/>
          <w:sz w:val="28"/>
          <w:szCs w:val="28"/>
        </w:rPr>
        <w:footnoteReference w:id="52"/>
      </w:r>
      <w:r w:rsidRPr="00321C0F">
        <w:rPr>
          <w:rFonts w:ascii="Times New Roman" w:hAnsi="Times New Roman" w:cs="Times New Roman"/>
          <w:sz w:val="28"/>
          <w:szCs w:val="28"/>
        </w:rPr>
        <w:t xml:space="preserve">. </w:t>
      </w:r>
    </w:p>
    <w:p w14:paraId="4E332995" w14:textId="547D3C75" w:rsidR="00321C0F" w:rsidRDefault="007E50E3"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Inoltre, i</w:t>
      </w:r>
      <w:r w:rsidR="00D20544" w:rsidRPr="00321C0F">
        <w:rPr>
          <w:rFonts w:ascii="Times New Roman" w:hAnsi="Times New Roman" w:cs="Times New Roman"/>
          <w:sz w:val="28"/>
          <w:szCs w:val="28"/>
        </w:rPr>
        <w:t xml:space="preserve">l Principio contabile applicato </w:t>
      </w:r>
      <w:r>
        <w:rPr>
          <w:rFonts w:ascii="Times New Roman" w:hAnsi="Times New Roman" w:cs="Times New Roman"/>
          <w:sz w:val="28"/>
          <w:szCs w:val="28"/>
        </w:rPr>
        <w:t>(Allegato 4/2 al d.lgs. n. 118/2011)</w:t>
      </w:r>
      <w:r w:rsidR="00D20544" w:rsidRPr="00321C0F">
        <w:rPr>
          <w:rFonts w:ascii="Times New Roman" w:hAnsi="Times New Roman" w:cs="Times New Roman"/>
          <w:sz w:val="28"/>
          <w:szCs w:val="28"/>
        </w:rPr>
        <w:t>, a differenza del sistema economico-patrimoniale delle imprese private, in cui l</w:t>
      </w:r>
      <w:r>
        <w:rPr>
          <w:rFonts w:ascii="Times New Roman" w:hAnsi="Times New Roman" w:cs="Times New Roman"/>
          <w:sz w:val="28"/>
          <w:szCs w:val="28"/>
        </w:rPr>
        <w:t xml:space="preserve">a percentuale di svalutazione dei </w:t>
      </w:r>
      <w:r w:rsidR="00D20544" w:rsidRPr="00321C0F">
        <w:rPr>
          <w:rFonts w:ascii="Times New Roman" w:hAnsi="Times New Roman" w:cs="Times New Roman"/>
          <w:sz w:val="28"/>
          <w:szCs w:val="28"/>
        </w:rPr>
        <w:t xml:space="preserve">crediti riduce </w:t>
      </w:r>
      <w:r>
        <w:rPr>
          <w:rFonts w:ascii="Times New Roman" w:hAnsi="Times New Roman" w:cs="Times New Roman"/>
          <w:sz w:val="28"/>
          <w:szCs w:val="28"/>
        </w:rPr>
        <w:t xml:space="preserve">direttamente </w:t>
      </w:r>
      <w:r w:rsidR="00D20544" w:rsidRPr="00321C0F">
        <w:rPr>
          <w:rFonts w:ascii="Times New Roman" w:hAnsi="Times New Roman" w:cs="Times New Roman"/>
          <w:sz w:val="28"/>
          <w:szCs w:val="28"/>
        </w:rPr>
        <w:t xml:space="preserve">il valore nominale </w:t>
      </w:r>
      <w:r w:rsidR="00321C0F" w:rsidRPr="00321C0F">
        <w:rPr>
          <w:rFonts w:ascii="Times New Roman" w:hAnsi="Times New Roman" w:cs="Times New Roman"/>
          <w:sz w:val="28"/>
          <w:szCs w:val="28"/>
        </w:rPr>
        <w:t>da esporre in stato patrimoniale</w:t>
      </w:r>
      <w:r w:rsidR="00321C0F">
        <w:rPr>
          <w:rStyle w:val="Rimandonotaapidipagina"/>
          <w:rFonts w:ascii="Times New Roman" w:hAnsi="Times New Roman" w:cs="Times New Roman"/>
          <w:sz w:val="28"/>
          <w:szCs w:val="28"/>
        </w:rPr>
        <w:footnoteReference w:id="53"/>
      </w:r>
      <w:r w:rsidR="00321C0F">
        <w:rPr>
          <w:rFonts w:ascii="Times New Roman" w:hAnsi="Times New Roman" w:cs="Times New Roman"/>
          <w:sz w:val="28"/>
          <w:szCs w:val="28"/>
        </w:rPr>
        <w:t>, impone di contabilizzare l’accantonamento a FCDE in apposita voce degli stanziamenti di spesa</w:t>
      </w:r>
      <w:r w:rsidR="00321C0F" w:rsidRPr="00321C0F">
        <w:rPr>
          <w:rFonts w:ascii="Times New Roman" w:hAnsi="Times New Roman" w:cs="Times New Roman"/>
          <w:sz w:val="28"/>
          <w:szCs w:val="28"/>
        </w:rPr>
        <w:t xml:space="preserve"> </w:t>
      </w:r>
      <w:r>
        <w:rPr>
          <w:rFonts w:ascii="Times New Roman" w:hAnsi="Times New Roman" w:cs="Times New Roman"/>
          <w:sz w:val="28"/>
          <w:szCs w:val="28"/>
        </w:rPr>
        <w:t>del bilancio di previsione.</w:t>
      </w:r>
      <w:r w:rsidR="00321C0F">
        <w:rPr>
          <w:rFonts w:ascii="Times New Roman" w:hAnsi="Times New Roman" w:cs="Times New Roman"/>
          <w:sz w:val="28"/>
          <w:szCs w:val="28"/>
        </w:rPr>
        <w:t xml:space="preserve"> </w:t>
      </w:r>
      <w:r w:rsidR="00321C0F" w:rsidRPr="008B0473">
        <w:rPr>
          <w:rFonts w:ascii="Times New Roman" w:hAnsi="Times New Roman" w:cs="Times New Roman"/>
          <w:sz w:val="28"/>
          <w:szCs w:val="28"/>
          <w:u w:val="single"/>
        </w:rPr>
        <w:t xml:space="preserve">Tale opzione </w:t>
      </w:r>
      <w:r w:rsidRPr="008B0473">
        <w:rPr>
          <w:rFonts w:ascii="Times New Roman" w:hAnsi="Times New Roman" w:cs="Times New Roman"/>
          <w:sz w:val="28"/>
          <w:szCs w:val="28"/>
          <w:u w:val="single"/>
        </w:rPr>
        <w:t>comprime</w:t>
      </w:r>
      <w:r w:rsidR="00321C0F" w:rsidRPr="008B0473">
        <w:rPr>
          <w:rFonts w:ascii="Times New Roman" w:hAnsi="Times New Roman" w:cs="Times New Roman"/>
          <w:sz w:val="28"/>
          <w:szCs w:val="28"/>
          <w:u w:val="single"/>
        </w:rPr>
        <w:t>, indistintamente, la capacità di spesa, nell’esercizio di competenza, dell’ente territoriale</w:t>
      </w:r>
      <w:r w:rsidR="00321C0F">
        <w:rPr>
          <w:rFonts w:ascii="Times New Roman" w:hAnsi="Times New Roman" w:cs="Times New Roman"/>
          <w:sz w:val="28"/>
          <w:szCs w:val="28"/>
        </w:rPr>
        <w:t>. Quest’ultimo, infatti, a fronte di un predeterminato ammontare di accertamenti stimati (ipotizzando l’assenza di avanzo libero di amministrazione da poter eventualmente applicare), potrà prevedere di impegnare spese per un importo non superiore ai primi</w:t>
      </w:r>
      <w:r w:rsidR="003016D1">
        <w:rPr>
          <w:rFonts w:ascii="Times New Roman" w:hAnsi="Times New Roman" w:cs="Times New Roman"/>
          <w:sz w:val="28"/>
          <w:szCs w:val="28"/>
        </w:rPr>
        <w:t>,</w:t>
      </w:r>
      <w:r w:rsidR="00321C0F">
        <w:rPr>
          <w:rFonts w:ascii="Times New Roman" w:hAnsi="Times New Roman" w:cs="Times New Roman"/>
          <w:sz w:val="28"/>
          <w:szCs w:val="28"/>
        </w:rPr>
        <w:t xml:space="preserve"> ridotto dell’accantonamento di competenza da effettuare a FCDE</w:t>
      </w:r>
      <w:r w:rsidR="00D30CA5">
        <w:rPr>
          <w:rStyle w:val="Rimandonotaapidipagina"/>
          <w:rFonts w:ascii="Times New Roman" w:hAnsi="Times New Roman" w:cs="Times New Roman"/>
          <w:sz w:val="28"/>
          <w:szCs w:val="28"/>
        </w:rPr>
        <w:footnoteReference w:id="54"/>
      </w:r>
      <w:r w:rsidR="00D30CA5">
        <w:rPr>
          <w:rFonts w:ascii="Times New Roman" w:hAnsi="Times New Roman" w:cs="Times New Roman"/>
          <w:sz w:val="28"/>
          <w:szCs w:val="28"/>
        </w:rPr>
        <w:t>.</w:t>
      </w:r>
      <w:r w:rsidR="00321C0F">
        <w:rPr>
          <w:rFonts w:ascii="Times New Roman" w:hAnsi="Times New Roman" w:cs="Times New Roman"/>
          <w:sz w:val="28"/>
          <w:szCs w:val="28"/>
        </w:rPr>
        <w:t xml:space="preserve"> </w:t>
      </w:r>
    </w:p>
    <w:p w14:paraId="0C6F2FEC" w14:textId="23F1A4B7" w:rsidR="00763522" w:rsidRDefault="00321C0F"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Inoltre</w:t>
      </w:r>
      <w:r w:rsidR="00D30CA5">
        <w:rPr>
          <w:rFonts w:ascii="Times New Roman" w:hAnsi="Times New Roman" w:cs="Times New Roman"/>
          <w:sz w:val="28"/>
          <w:szCs w:val="28"/>
        </w:rPr>
        <w:t xml:space="preserve">, </w:t>
      </w:r>
      <w:r w:rsidR="007E50E3">
        <w:rPr>
          <w:rFonts w:ascii="Times New Roman" w:hAnsi="Times New Roman" w:cs="Times New Roman"/>
          <w:sz w:val="28"/>
          <w:szCs w:val="28"/>
        </w:rPr>
        <w:t xml:space="preserve">va precisato, </w:t>
      </w:r>
      <w:r w:rsidR="00D30CA5">
        <w:rPr>
          <w:rFonts w:ascii="Times New Roman" w:hAnsi="Times New Roman" w:cs="Times New Roman"/>
          <w:sz w:val="28"/>
          <w:szCs w:val="28"/>
        </w:rPr>
        <w:t xml:space="preserve">altra premessa indispensabile, </w:t>
      </w:r>
      <w:r w:rsidR="007E50E3">
        <w:rPr>
          <w:rFonts w:ascii="Times New Roman" w:hAnsi="Times New Roman" w:cs="Times New Roman"/>
          <w:sz w:val="28"/>
          <w:szCs w:val="28"/>
        </w:rPr>
        <w:t xml:space="preserve">che </w:t>
      </w:r>
      <w:r w:rsidR="007E50E3" w:rsidRPr="00513969">
        <w:rPr>
          <w:rFonts w:ascii="Times New Roman" w:hAnsi="Times New Roman" w:cs="Times New Roman"/>
          <w:sz w:val="28"/>
          <w:szCs w:val="28"/>
          <w:u w:val="single"/>
        </w:rPr>
        <w:t>le modalità di quantificazione dei due fondi</w:t>
      </w:r>
      <w:r w:rsidR="007E50E3">
        <w:rPr>
          <w:rFonts w:ascii="Times New Roman" w:hAnsi="Times New Roman" w:cs="Times New Roman"/>
          <w:sz w:val="28"/>
          <w:szCs w:val="28"/>
        </w:rPr>
        <w:t xml:space="preserve"> (l’accantonamento di competenza ed il fondo da accantonare nel risultato di amministrazione) </w:t>
      </w:r>
      <w:r w:rsidR="007E50E3" w:rsidRPr="00513969">
        <w:rPr>
          <w:rFonts w:ascii="Times New Roman" w:hAnsi="Times New Roman" w:cs="Times New Roman"/>
          <w:sz w:val="28"/>
          <w:szCs w:val="28"/>
          <w:u w:val="single"/>
        </w:rPr>
        <w:t>sono</w:t>
      </w:r>
      <w:r w:rsidR="001B5BC8" w:rsidRPr="00513969">
        <w:rPr>
          <w:rFonts w:ascii="Times New Roman" w:hAnsi="Times New Roman" w:cs="Times New Roman"/>
          <w:sz w:val="28"/>
          <w:szCs w:val="28"/>
          <w:u w:val="single"/>
        </w:rPr>
        <w:t xml:space="preserve"> calcolati</w:t>
      </w:r>
      <w:r w:rsidR="007E50E3">
        <w:rPr>
          <w:rFonts w:ascii="Times New Roman" w:hAnsi="Times New Roman" w:cs="Times New Roman"/>
          <w:sz w:val="28"/>
          <w:szCs w:val="28"/>
        </w:rPr>
        <w:t>, dal medesimo Principio contabile</w:t>
      </w:r>
      <w:r w:rsidR="001B5BC8">
        <w:rPr>
          <w:rFonts w:ascii="Times New Roman" w:hAnsi="Times New Roman" w:cs="Times New Roman"/>
          <w:sz w:val="28"/>
          <w:szCs w:val="28"/>
        </w:rPr>
        <w:t xml:space="preserve"> applicato (Allegato 4/2 al d.lgs. n. 118/2011, paragrafo 3.3 ed Esempio n. 5)</w:t>
      </w:r>
      <w:r w:rsidR="007E50E3">
        <w:rPr>
          <w:rFonts w:ascii="Times New Roman" w:hAnsi="Times New Roman" w:cs="Times New Roman"/>
          <w:sz w:val="28"/>
          <w:szCs w:val="28"/>
        </w:rPr>
        <w:t xml:space="preserve">, </w:t>
      </w:r>
      <w:r w:rsidR="001B5BC8" w:rsidRPr="00513969">
        <w:rPr>
          <w:rFonts w:ascii="Times New Roman" w:hAnsi="Times New Roman" w:cs="Times New Roman"/>
          <w:sz w:val="28"/>
          <w:szCs w:val="28"/>
          <w:u w:val="single"/>
        </w:rPr>
        <w:t>in modo autonomo e distinto</w:t>
      </w:r>
      <w:r w:rsidR="007E50E3">
        <w:rPr>
          <w:rFonts w:ascii="Times New Roman" w:hAnsi="Times New Roman" w:cs="Times New Roman"/>
          <w:sz w:val="28"/>
          <w:szCs w:val="28"/>
        </w:rPr>
        <w:t xml:space="preserve"> (essendo frutto, il primo, del rapporto fra riscossioni e accertamenti di competenza, negli ultimi 5 esercizi; il secondo, del rapporto fra residui attivi riscossi e residui attivi esistenti all’inizio di ognuno dei 5 esercizi precedenti). </w:t>
      </w:r>
      <w:r w:rsidR="00C43D9B">
        <w:rPr>
          <w:rFonts w:ascii="Times New Roman" w:hAnsi="Times New Roman" w:cs="Times New Roman"/>
          <w:sz w:val="28"/>
          <w:szCs w:val="28"/>
        </w:rPr>
        <w:t>I</w:t>
      </w:r>
      <w:r w:rsidR="00D30CA5">
        <w:rPr>
          <w:rFonts w:ascii="Times New Roman" w:hAnsi="Times New Roman" w:cs="Times New Roman"/>
          <w:sz w:val="28"/>
          <w:szCs w:val="28"/>
        </w:rPr>
        <w:t xml:space="preserve">l </w:t>
      </w:r>
      <w:r w:rsidR="001B5BC8">
        <w:rPr>
          <w:rFonts w:ascii="Times New Roman" w:hAnsi="Times New Roman" w:cs="Times New Roman"/>
          <w:sz w:val="28"/>
          <w:szCs w:val="28"/>
        </w:rPr>
        <w:t xml:space="preserve">medesimo </w:t>
      </w:r>
      <w:r w:rsidR="00D30CA5">
        <w:rPr>
          <w:rFonts w:ascii="Times New Roman" w:hAnsi="Times New Roman" w:cs="Times New Roman"/>
          <w:sz w:val="28"/>
          <w:szCs w:val="28"/>
        </w:rPr>
        <w:t>Principio contabile</w:t>
      </w:r>
      <w:r w:rsidR="00763522">
        <w:rPr>
          <w:rFonts w:ascii="Times New Roman" w:hAnsi="Times New Roman" w:cs="Times New Roman"/>
          <w:sz w:val="28"/>
          <w:szCs w:val="28"/>
        </w:rPr>
        <w:t xml:space="preserve"> applicato</w:t>
      </w:r>
      <w:r w:rsidR="00D30CA5">
        <w:rPr>
          <w:rFonts w:ascii="Times New Roman" w:hAnsi="Times New Roman" w:cs="Times New Roman"/>
          <w:sz w:val="28"/>
          <w:szCs w:val="28"/>
        </w:rPr>
        <w:t xml:space="preserve">, </w:t>
      </w:r>
      <w:r w:rsidR="00C43D9B">
        <w:rPr>
          <w:rFonts w:ascii="Times New Roman" w:hAnsi="Times New Roman" w:cs="Times New Roman"/>
          <w:sz w:val="28"/>
          <w:szCs w:val="28"/>
        </w:rPr>
        <w:t xml:space="preserve">tuttavia, </w:t>
      </w:r>
      <w:r w:rsidR="00D30CA5">
        <w:rPr>
          <w:rFonts w:ascii="Times New Roman" w:hAnsi="Times New Roman" w:cs="Times New Roman"/>
          <w:sz w:val="28"/>
          <w:szCs w:val="28"/>
        </w:rPr>
        <w:t>in alcuni punti, sembra far pensare ad un’automatica confluenza dell’importo accantona</w:t>
      </w:r>
      <w:r w:rsidR="001B5BC8">
        <w:rPr>
          <w:rFonts w:ascii="Times New Roman" w:hAnsi="Times New Roman" w:cs="Times New Roman"/>
          <w:sz w:val="28"/>
          <w:szCs w:val="28"/>
        </w:rPr>
        <w:t xml:space="preserve">to </w:t>
      </w:r>
      <w:r w:rsidR="00D30CA5">
        <w:rPr>
          <w:rFonts w:ascii="Times New Roman" w:hAnsi="Times New Roman" w:cs="Times New Roman"/>
          <w:sz w:val="28"/>
          <w:szCs w:val="28"/>
        </w:rPr>
        <w:t>a FCDE</w:t>
      </w:r>
      <w:r w:rsidR="001B5BC8">
        <w:rPr>
          <w:rFonts w:ascii="Times New Roman" w:hAnsi="Times New Roman" w:cs="Times New Roman"/>
          <w:sz w:val="28"/>
          <w:szCs w:val="28"/>
        </w:rPr>
        <w:t xml:space="preserve"> nel</w:t>
      </w:r>
      <w:r w:rsidR="00D30CA5">
        <w:rPr>
          <w:rFonts w:ascii="Times New Roman" w:hAnsi="Times New Roman" w:cs="Times New Roman"/>
          <w:sz w:val="28"/>
          <w:szCs w:val="28"/>
        </w:rPr>
        <w:t xml:space="preserve"> bilancio di previsione nella quota accantonata, agli stessi fini, </w:t>
      </w:r>
      <w:r w:rsidR="00763522">
        <w:rPr>
          <w:rFonts w:ascii="Times New Roman" w:hAnsi="Times New Roman" w:cs="Times New Roman"/>
          <w:sz w:val="28"/>
          <w:szCs w:val="28"/>
        </w:rPr>
        <w:t>d</w:t>
      </w:r>
      <w:r w:rsidR="00D30CA5">
        <w:rPr>
          <w:rFonts w:ascii="Times New Roman" w:hAnsi="Times New Roman" w:cs="Times New Roman"/>
          <w:sz w:val="28"/>
          <w:szCs w:val="28"/>
        </w:rPr>
        <w:t xml:space="preserve">el risultato di </w:t>
      </w:r>
      <w:r w:rsidR="00E74983" w:rsidRPr="00321C0F">
        <w:rPr>
          <w:rFonts w:ascii="Times New Roman" w:hAnsi="Times New Roman" w:cs="Times New Roman"/>
          <w:sz w:val="28"/>
          <w:szCs w:val="28"/>
        </w:rPr>
        <w:t>amministrazione</w:t>
      </w:r>
      <w:r w:rsidR="001B5BC8">
        <w:rPr>
          <w:rStyle w:val="Rimandonotaapidipagina"/>
          <w:rFonts w:ascii="Times New Roman" w:hAnsi="Times New Roman" w:cs="Times New Roman"/>
          <w:sz w:val="28"/>
          <w:szCs w:val="28"/>
        </w:rPr>
        <w:footnoteReference w:id="55"/>
      </w:r>
      <w:r w:rsidR="00763522">
        <w:rPr>
          <w:rFonts w:ascii="Times New Roman" w:hAnsi="Times New Roman" w:cs="Times New Roman"/>
          <w:sz w:val="28"/>
          <w:szCs w:val="28"/>
        </w:rPr>
        <w:t>.</w:t>
      </w:r>
    </w:p>
    <w:p w14:paraId="7D03E3C2" w14:textId="6F980448" w:rsidR="00E74983" w:rsidRPr="00321C0F" w:rsidRDefault="001B5BC8" w:rsidP="00763522">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Per quanto concerne</w:t>
      </w:r>
      <w:r w:rsidR="00763522">
        <w:rPr>
          <w:rFonts w:ascii="Times New Roman" w:hAnsi="Times New Roman" w:cs="Times New Roman"/>
          <w:sz w:val="28"/>
          <w:szCs w:val="28"/>
        </w:rPr>
        <w:t xml:space="preserve"> l’</w:t>
      </w:r>
      <w:r w:rsidR="00763522" w:rsidRPr="001B5BC8">
        <w:rPr>
          <w:rFonts w:ascii="Times New Roman" w:hAnsi="Times New Roman" w:cs="Times New Roman"/>
          <w:sz w:val="28"/>
          <w:szCs w:val="28"/>
          <w:u w:val="single"/>
        </w:rPr>
        <w:t>accantonamento al fondo crediti di dubbia esigibilità quale stanziamento nel bilancio di previsione</w:t>
      </w:r>
      <w:r w:rsidR="00763522">
        <w:rPr>
          <w:rFonts w:ascii="Times New Roman" w:hAnsi="Times New Roman" w:cs="Times New Roman"/>
          <w:sz w:val="28"/>
          <w:szCs w:val="28"/>
        </w:rPr>
        <w:t>, il Principio contabile applicato dispone che l’ammontare sia</w:t>
      </w:r>
      <w:r w:rsidR="00E74983" w:rsidRPr="00321C0F">
        <w:rPr>
          <w:rFonts w:ascii="Times New Roman" w:hAnsi="Times New Roman" w:cs="Times New Roman"/>
          <w:sz w:val="28"/>
          <w:szCs w:val="28"/>
        </w:rPr>
        <w:t xml:space="preserve"> determinato in considerazione della dimensione </w:t>
      </w:r>
      <w:r w:rsidR="008D6E5F">
        <w:rPr>
          <w:rFonts w:ascii="Times New Roman" w:hAnsi="Times New Roman" w:cs="Times New Roman"/>
          <w:sz w:val="28"/>
          <w:szCs w:val="28"/>
        </w:rPr>
        <w:t>dei</w:t>
      </w:r>
      <w:r w:rsidR="00E74983" w:rsidRPr="00321C0F">
        <w:rPr>
          <w:rFonts w:ascii="Times New Roman" w:hAnsi="Times New Roman" w:cs="Times New Roman"/>
          <w:sz w:val="28"/>
          <w:szCs w:val="28"/>
        </w:rPr>
        <w:t xml:space="preserve"> crediti </w:t>
      </w:r>
      <w:r w:rsidR="008D6E5F">
        <w:rPr>
          <w:rFonts w:ascii="Times New Roman" w:hAnsi="Times New Roman" w:cs="Times New Roman"/>
          <w:sz w:val="28"/>
          <w:szCs w:val="28"/>
        </w:rPr>
        <w:t xml:space="preserve">(residui attivi) </w:t>
      </w:r>
      <w:r w:rsidR="00E74983" w:rsidRPr="00321C0F">
        <w:rPr>
          <w:rFonts w:ascii="Times New Roman" w:hAnsi="Times New Roman" w:cs="Times New Roman"/>
          <w:sz w:val="28"/>
          <w:szCs w:val="28"/>
        </w:rPr>
        <w:t>che si prevede si formeranno nell'esercizio</w:t>
      </w:r>
      <w:r w:rsidR="008D6E5F">
        <w:rPr>
          <w:rFonts w:ascii="Times New Roman" w:hAnsi="Times New Roman" w:cs="Times New Roman"/>
          <w:sz w:val="28"/>
          <w:szCs w:val="28"/>
        </w:rPr>
        <w:t xml:space="preserve">. A tal fine, occorre calcolare la </w:t>
      </w:r>
      <w:r w:rsidR="00E74983" w:rsidRPr="00321C0F">
        <w:rPr>
          <w:rFonts w:ascii="Times New Roman" w:hAnsi="Times New Roman" w:cs="Times New Roman"/>
          <w:sz w:val="28"/>
          <w:szCs w:val="28"/>
        </w:rPr>
        <w:t>media del rapporto tra incassi e accertamenti</w:t>
      </w:r>
      <w:r w:rsidR="008D6E5F">
        <w:rPr>
          <w:rFonts w:ascii="Times New Roman" w:hAnsi="Times New Roman" w:cs="Times New Roman"/>
          <w:sz w:val="28"/>
          <w:szCs w:val="28"/>
        </w:rPr>
        <w:t>,</w:t>
      </w:r>
      <w:r w:rsidR="00E74983" w:rsidRPr="00321C0F">
        <w:rPr>
          <w:rFonts w:ascii="Times New Roman" w:hAnsi="Times New Roman" w:cs="Times New Roman"/>
          <w:sz w:val="28"/>
          <w:szCs w:val="28"/>
        </w:rPr>
        <w:t xml:space="preserve"> per ciascuna tipologia di entrata</w:t>
      </w:r>
      <w:r w:rsidR="008D6E5F">
        <w:rPr>
          <w:rFonts w:ascii="Times New Roman" w:hAnsi="Times New Roman" w:cs="Times New Roman"/>
          <w:sz w:val="28"/>
          <w:szCs w:val="28"/>
        </w:rPr>
        <w:t>, nell’ultimo quinquennio</w:t>
      </w:r>
      <w:r w:rsidR="008D6E5F">
        <w:rPr>
          <w:rStyle w:val="Rimandonotaapidipagina"/>
          <w:rFonts w:ascii="Times New Roman" w:hAnsi="Times New Roman" w:cs="Times New Roman"/>
          <w:sz w:val="28"/>
          <w:szCs w:val="28"/>
        </w:rPr>
        <w:footnoteReference w:id="56"/>
      </w:r>
      <w:r w:rsidR="00E74983" w:rsidRPr="00321C0F">
        <w:rPr>
          <w:rFonts w:ascii="Times New Roman" w:hAnsi="Times New Roman" w:cs="Times New Roman"/>
          <w:sz w:val="28"/>
          <w:szCs w:val="28"/>
        </w:rPr>
        <w:t xml:space="preserve">. </w:t>
      </w:r>
    </w:p>
    <w:p w14:paraId="03DB49F0" w14:textId="2EC16B2F" w:rsidR="00E74983" w:rsidRPr="00321C0F" w:rsidRDefault="00282252"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Il medesimo Principio applicato ha consentito, ne</w:t>
      </w:r>
      <w:r w:rsidR="00625360">
        <w:rPr>
          <w:rFonts w:ascii="Times New Roman" w:hAnsi="Times New Roman" w:cs="Times New Roman"/>
          <w:sz w:val="28"/>
          <w:szCs w:val="28"/>
        </w:rPr>
        <w:t>i</w:t>
      </w:r>
      <w:r>
        <w:rPr>
          <w:rFonts w:ascii="Times New Roman" w:hAnsi="Times New Roman" w:cs="Times New Roman"/>
          <w:sz w:val="28"/>
          <w:szCs w:val="28"/>
        </w:rPr>
        <w:t xml:space="preserve"> </w:t>
      </w:r>
      <w:r w:rsidR="00E74983" w:rsidRPr="00321C0F">
        <w:rPr>
          <w:rFonts w:ascii="Times New Roman" w:hAnsi="Times New Roman" w:cs="Times New Roman"/>
          <w:sz w:val="28"/>
          <w:szCs w:val="28"/>
        </w:rPr>
        <w:t>prim</w:t>
      </w:r>
      <w:r w:rsidR="00625360">
        <w:rPr>
          <w:rFonts w:ascii="Times New Roman" w:hAnsi="Times New Roman" w:cs="Times New Roman"/>
          <w:sz w:val="28"/>
          <w:szCs w:val="28"/>
        </w:rPr>
        <w:t>i</w:t>
      </w:r>
      <w:r w:rsidR="00E74983" w:rsidRPr="00321C0F">
        <w:rPr>
          <w:rFonts w:ascii="Times New Roman" w:hAnsi="Times New Roman" w:cs="Times New Roman"/>
          <w:sz w:val="28"/>
          <w:szCs w:val="28"/>
        </w:rPr>
        <w:t xml:space="preserve"> esercizi di applicazione</w:t>
      </w:r>
      <w:r>
        <w:rPr>
          <w:rFonts w:ascii="Times New Roman" w:hAnsi="Times New Roman" w:cs="Times New Roman"/>
          <w:sz w:val="28"/>
          <w:szCs w:val="28"/>
        </w:rPr>
        <w:t>,</w:t>
      </w:r>
      <w:r w:rsidR="00E74983" w:rsidRPr="00321C0F">
        <w:rPr>
          <w:rFonts w:ascii="Times New Roman" w:hAnsi="Times New Roman" w:cs="Times New Roman"/>
          <w:sz w:val="28"/>
          <w:szCs w:val="28"/>
        </w:rPr>
        <w:t xml:space="preserve"> </w:t>
      </w:r>
      <w:r>
        <w:rPr>
          <w:rFonts w:ascii="Times New Roman" w:hAnsi="Times New Roman" w:cs="Times New Roman"/>
          <w:sz w:val="28"/>
          <w:szCs w:val="28"/>
        </w:rPr>
        <w:t xml:space="preserve">di stanziare, nel </w:t>
      </w:r>
      <w:r w:rsidR="00E74983" w:rsidRPr="00321C0F">
        <w:rPr>
          <w:rFonts w:ascii="Times New Roman" w:hAnsi="Times New Roman" w:cs="Times New Roman"/>
          <w:sz w:val="28"/>
          <w:szCs w:val="28"/>
        </w:rPr>
        <w:t xml:space="preserve">bilancio </w:t>
      </w:r>
      <w:r>
        <w:rPr>
          <w:rFonts w:ascii="Times New Roman" w:hAnsi="Times New Roman" w:cs="Times New Roman"/>
          <w:sz w:val="28"/>
          <w:szCs w:val="28"/>
        </w:rPr>
        <w:t>di previsione, un importo, a titolo di accantonamento a FCDE</w:t>
      </w:r>
      <w:r w:rsidR="001B5BC8">
        <w:rPr>
          <w:rFonts w:ascii="Times New Roman" w:hAnsi="Times New Roman" w:cs="Times New Roman"/>
          <w:sz w:val="28"/>
          <w:szCs w:val="28"/>
        </w:rPr>
        <w:t>,</w:t>
      </w:r>
      <w:r>
        <w:rPr>
          <w:rFonts w:ascii="Times New Roman" w:hAnsi="Times New Roman" w:cs="Times New Roman"/>
          <w:sz w:val="28"/>
          <w:szCs w:val="28"/>
        </w:rPr>
        <w:t xml:space="preserve"> inferiore a quello risultante dalla piana applicazione del tasso di mancata riscossione degli accertamenti delle entrate, valutate di dubbia esigibilità, nell’ultimo quinquennio, per giungere </w:t>
      </w:r>
      <w:r w:rsidR="001B5BC8">
        <w:rPr>
          <w:rFonts w:ascii="Times New Roman" w:hAnsi="Times New Roman" w:cs="Times New Roman"/>
          <w:sz w:val="28"/>
          <w:szCs w:val="28"/>
        </w:rPr>
        <w:t xml:space="preserve">all’integrale accantonamento </w:t>
      </w:r>
      <w:r>
        <w:rPr>
          <w:rFonts w:ascii="Times New Roman" w:hAnsi="Times New Roman" w:cs="Times New Roman"/>
          <w:sz w:val="28"/>
          <w:szCs w:val="28"/>
        </w:rPr>
        <w:t xml:space="preserve">entro </w:t>
      </w:r>
      <w:r w:rsidR="007766AB">
        <w:rPr>
          <w:rFonts w:ascii="Times New Roman" w:hAnsi="Times New Roman" w:cs="Times New Roman"/>
          <w:sz w:val="28"/>
          <w:szCs w:val="28"/>
        </w:rPr>
        <w:t xml:space="preserve">il 2017 </w:t>
      </w:r>
      <w:r>
        <w:rPr>
          <w:rFonts w:ascii="Times New Roman" w:hAnsi="Times New Roman" w:cs="Times New Roman"/>
          <w:sz w:val="28"/>
          <w:szCs w:val="28"/>
        </w:rPr>
        <w:t>per le regioni e, a seguito di successive modifiche normative</w:t>
      </w:r>
      <w:r>
        <w:rPr>
          <w:rStyle w:val="Rimandonotaapidipagina"/>
          <w:rFonts w:ascii="Times New Roman" w:hAnsi="Times New Roman" w:cs="Times New Roman"/>
          <w:sz w:val="28"/>
          <w:szCs w:val="28"/>
        </w:rPr>
        <w:footnoteReference w:id="57"/>
      </w:r>
      <w:r>
        <w:rPr>
          <w:rFonts w:ascii="Times New Roman" w:hAnsi="Times New Roman" w:cs="Times New Roman"/>
          <w:sz w:val="28"/>
          <w:szCs w:val="28"/>
        </w:rPr>
        <w:t xml:space="preserve">, entro il </w:t>
      </w:r>
      <w:r w:rsidR="007766AB">
        <w:rPr>
          <w:rFonts w:ascii="Times New Roman" w:hAnsi="Times New Roman" w:cs="Times New Roman"/>
          <w:sz w:val="28"/>
          <w:szCs w:val="28"/>
        </w:rPr>
        <w:t>2021 per gli enti locali</w:t>
      </w:r>
      <w:r w:rsidR="007766AB">
        <w:rPr>
          <w:rStyle w:val="Rimandonotaapidipagina"/>
          <w:rFonts w:ascii="Times New Roman" w:hAnsi="Times New Roman" w:cs="Times New Roman"/>
          <w:sz w:val="28"/>
          <w:szCs w:val="28"/>
        </w:rPr>
        <w:footnoteReference w:id="58"/>
      </w:r>
      <w:r w:rsidR="007766AB">
        <w:rPr>
          <w:rFonts w:ascii="Times New Roman" w:hAnsi="Times New Roman" w:cs="Times New Roman"/>
          <w:sz w:val="28"/>
          <w:szCs w:val="28"/>
        </w:rPr>
        <w:t>.</w:t>
      </w:r>
    </w:p>
    <w:p w14:paraId="5954C57C" w14:textId="21BCC84F" w:rsidR="00430168" w:rsidRDefault="007766AB"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Invece, </w:t>
      </w:r>
      <w:r w:rsidRPr="001B5BC8">
        <w:rPr>
          <w:rFonts w:ascii="Times New Roman" w:hAnsi="Times New Roman" w:cs="Times New Roman"/>
          <w:sz w:val="28"/>
          <w:szCs w:val="28"/>
          <w:u w:val="single"/>
        </w:rPr>
        <w:t xml:space="preserve">in sede di </w:t>
      </w:r>
      <w:r w:rsidR="00E74983" w:rsidRPr="001B5BC8">
        <w:rPr>
          <w:rFonts w:ascii="Times New Roman" w:hAnsi="Times New Roman" w:cs="Times New Roman"/>
          <w:sz w:val="28"/>
          <w:szCs w:val="28"/>
          <w:u w:val="single"/>
        </w:rPr>
        <w:t>rendiconto</w:t>
      </w:r>
      <w:r w:rsidR="00E74983" w:rsidRPr="00321C0F">
        <w:rPr>
          <w:rFonts w:ascii="Times New Roman" w:hAnsi="Times New Roman" w:cs="Times New Roman"/>
          <w:sz w:val="28"/>
          <w:szCs w:val="28"/>
        </w:rPr>
        <w:t xml:space="preserve">, </w:t>
      </w:r>
      <w:r>
        <w:rPr>
          <w:rFonts w:ascii="Times New Roman" w:hAnsi="Times New Roman" w:cs="Times New Roman"/>
          <w:sz w:val="28"/>
          <w:szCs w:val="28"/>
        </w:rPr>
        <w:t xml:space="preserve">gli enti territoriali, </w:t>
      </w:r>
      <w:r w:rsidR="00E74983" w:rsidRPr="00321C0F">
        <w:rPr>
          <w:rFonts w:ascii="Times New Roman" w:hAnsi="Times New Roman" w:cs="Times New Roman"/>
          <w:sz w:val="28"/>
          <w:szCs w:val="28"/>
        </w:rPr>
        <w:t xml:space="preserve">fin dal primo esercizio di applicazione del </w:t>
      </w:r>
      <w:r>
        <w:rPr>
          <w:rFonts w:ascii="Times New Roman" w:hAnsi="Times New Roman" w:cs="Times New Roman"/>
          <w:sz w:val="28"/>
          <w:szCs w:val="28"/>
        </w:rPr>
        <w:t>P</w:t>
      </w:r>
      <w:r w:rsidR="00E74983" w:rsidRPr="00321C0F">
        <w:rPr>
          <w:rFonts w:ascii="Times New Roman" w:hAnsi="Times New Roman" w:cs="Times New Roman"/>
          <w:sz w:val="28"/>
          <w:szCs w:val="28"/>
        </w:rPr>
        <w:t>rincipio</w:t>
      </w:r>
      <w:r>
        <w:rPr>
          <w:rFonts w:ascii="Times New Roman" w:hAnsi="Times New Roman" w:cs="Times New Roman"/>
          <w:sz w:val="28"/>
          <w:szCs w:val="28"/>
        </w:rPr>
        <w:t xml:space="preserve"> contabile applicato</w:t>
      </w:r>
      <w:r w:rsidR="00E74983" w:rsidRPr="00321C0F">
        <w:rPr>
          <w:rFonts w:ascii="Times New Roman" w:hAnsi="Times New Roman" w:cs="Times New Roman"/>
          <w:sz w:val="28"/>
          <w:szCs w:val="28"/>
        </w:rPr>
        <w:t xml:space="preserve">, </w:t>
      </w:r>
      <w:r>
        <w:rPr>
          <w:rFonts w:ascii="Times New Roman" w:hAnsi="Times New Roman" w:cs="Times New Roman"/>
          <w:sz w:val="28"/>
          <w:szCs w:val="28"/>
        </w:rPr>
        <w:t xml:space="preserve">hanno dovuto </w:t>
      </w:r>
      <w:r w:rsidR="00E74983" w:rsidRPr="00321C0F">
        <w:rPr>
          <w:rFonts w:ascii="Times New Roman" w:hAnsi="Times New Roman" w:cs="Times New Roman"/>
          <w:sz w:val="28"/>
          <w:szCs w:val="28"/>
        </w:rPr>
        <w:t>accantona</w:t>
      </w:r>
      <w:r>
        <w:rPr>
          <w:rFonts w:ascii="Times New Roman" w:hAnsi="Times New Roman" w:cs="Times New Roman"/>
          <w:sz w:val="28"/>
          <w:szCs w:val="28"/>
        </w:rPr>
        <w:t>re,</w:t>
      </w:r>
      <w:r w:rsidR="00E74983" w:rsidRPr="00321C0F">
        <w:rPr>
          <w:rFonts w:ascii="Times New Roman" w:hAnsi="Times New Roman" w:cs="Times New Roman"/>
          <w:sz w:val="28"/>
          <w:szCs w:val="28"/>
        </w:rPr>
        <w:t xml:space="preserve"> nel</w:t>
      </w:r>
      <w:r>
        <w:rPr>
          <w:rFonts w:ascii="Times New Roman" w:hAnsi="Times New Roman" w:cs="Times New Roman"/>
          <w:sz w:val="28"/>
          <w:szCs w:val="28"/>
        </w:rPr>
        <w:t xml:space="preserve"> risultato </w:t>
      </w:r>
      <w:r w:rsidR="00E74983" w:rsidRPr="00321C0F">
        <w:rPr>
          <w:rFonts w:ascii="Times New Roman" w:hAnsi="Times New Roman" w:cs="Times New Roman"/>
          <w:sz w:val="28"/>
          <w:szCs w:val="28"/>
        </w:rPr>
        <w:t>di amministrazione</w:t>
      </w:r>
      <w:r>
        <w:rPr>
          <w:rStyle w:val="Rimandonotaapidipagina"/>
          <w:rFonts w:ascii="Times New Roman" w:hAnsi="Times New Roman" w:cs="Times New Roman"/>
          <w:sz w:val="28"/>
          <w:szCs w:val="28"/>
        </w:rPr>
        <w:footnoteReference w:id="59"/>
      </w:r>
      <w:r>
        <w:rPr>
          <w:rFonts w:ascii="Times New Roman" w:hAnsi="Times New Roman" w:cs="Times New Roman"/>
          <w:sz w:val="28"/>
          <w:szCs w:val="28"/>
        </w:rPr>
        <w:t>,</w:t>
      </w:r>
      <w:r w:rsidR="00E74983" w:rsidRPr="00321C0F">
        <w:rPr>
          <w:rFonts w:ascii="Times New Roman" w:hAnsi="Times New Roman" w:cs="Times New Roman"/>
          <w:sz w:val="28"/>
          <w:szCs w:val="28"/>
        </w:rPr>
        <w:t xml:space="preserve"> l'intero importo del fondo crediti di dubbia esigibilità quantificato nel </w:t>
      </w:r>
      <w:r>
        <w:rPr>
          <w:rFonts w:ascii="Times New Roman" w:hAnsi="Times New Roman" w:cs="Times New Roman"/>
          <w:sz w:val="28"/>
          <w:szCs w:val="28"/>
        </w:rPr>
        <w:t xml:space="preserve">pertinente </w:t>
      </w:r>
      <w:r w:rsidR="00E74983" w:rsidRPr="00321C0F">
        <w:rPr>
          <w:rFonts w:ascii="Times New Roman" w:hAnsi="Times New Roman" w:cs="Times New Roman"/>
          <w:sz w:val="28"/>
          <w:szCs w:val="28"/>
        </w:rPr>
        <w:t>pro</w:t>
      </w:r>
      <w:r w:rsidR="00F700FD">
        <w:rPr>
          <w:rFonts w:ascii="Times New Roman" w:hAnsi="Times New Roman" w:cs="Times New Roman"/>
          <w:sz w:val="28"/>
          <w:szCs w:val="28"/>
        </w:rPr>
        <w:t>spetto</w:t>
      </w:r>
      <w:r w:rsidR="00F700FD">
        <w:rPr>
          <w:rStyle w:val="Rimandonotaapidipagina"/>
          <w:rFonts w:ascii="Times New Roman" w:hAnsi="Times New Roman" w:cs="Times New Roman"/>
          <w:sz w:val="28"/>
          <w:szCs w:val="28"/>
        </w:rPr>
        <w:footnoteReference w:id="60"/>
      </w:r>
      <w:r>
        <w:rPr>
          <w:rFonts w:ascii="Times New Roman" w:hAnsi="Times New Roman" w:cs="Times New Roman"/>
          <w:sz w:val="28"/>
          <w:szCs w:val="28"/>
        </w:rPr>
        <w:t>, frutto, in questo caso, della percentuale di mancata riscossione dei residui attivi, valutati di dubbia esigibilità, nell’ultimo quinquennio (non degli accertamenti di competenza)</w:t>
      </w:r>
      <w:r w:rsidR="006C3BD4">
        <w:rPr>
          <w:rStyle w:val="Rimandonotaapidipagina"/>
          <w:rFonts w:ascii="Times New Roman" w:hAnsi="Times New Roman" w:cs="Times New Roman"/>
          <w:sz w:val="28"/>
          <w:szCs w:val="28"/>
        </w:rPr>
        <w:footnoteReference w:id="61"/>
      </w:r>
      <w:r>
        <w:rPr>
          <w:rFonts w:ascii="Times New Roman" w:hAnsi="Times New Roman" w:cs="Times New Roman"/>
          <w:sz w:val="28"/>
          <w:szCs w:val="28"/>
        </w:rPr>
        <w:t xml:space="preserve">. </w:t>
      </w:r>
    </w:p>
    <w:p w14:paraId="47F2351B" w14:textId="3F361479" w:rsidR="002C2F70" w:rsidRDefault="00430168"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Il medesimo Principio, tuttavia, come novellato dal</w:t>
      </w:r>
      <w:r w:rsidR="00F700FD">
        <w:rPr>
          <w:rFonts w:ascii="Times New Roman" w:hAnsi="Times New Roman" w:cs="Times New Roman"/>
          <w:sz w:val="28"/>
          <w:szCs w:val="28"/>
        </w:rPr>
        <w:t xml:space="preserve"> DM 20 maggio 2015</w:t>
      </w:r>
      <w:r w:rsidR="00F700FD">
        <w:rPr>
          <w:rStyle w:val="Rimandonotaapidipagina"/>
          <w:rFonts w:ascii="Times New Roman" w:hAnsi="Times New Roman" w:cs="Times New Roman"/>
          <w:sz w:val="28"/>
          <w:szCs w:val="28"/>
        </w:rPr>
        <w:footnoteReference w:id="62"/>
      </w:r>
      <w:r>
        <w:rPr>
          <w:rFonts w:ascii="Times New Roman" w:hAnsi="Times New Roman" w:cs="Times New Roman"/>
          <w:sz w:val="28"/>
          <w:szCs w:val="28"/>
        </w:rPr>
        <w:t xml:space="preserve">, fa </w:t>
      </w:r>
      <w:r w:rsidR="00E74983" w:rsidRPr="00321C0F">
        <w:rPr>
          <w:rFonts w:ascii="Times New Roman" w:hAnsi="Times New Roman" w:cs="Times New Roman"/>
          <w:sz w:val="28"/>
          <w:szCs w:val="28"/>
        </w:rPr>
        <w:t>salva</w:t>
      </w:r>
      <w:r>
        <w:rPr>
          <w:rFonts w:ascii="Times New Roman" w:hAnsi="Times New Roman" w:cs="Times New Roman"/>
          <w:sz w:val="28"/>
          <w:szCs w:val="28"/>
        </w:rPr>
        <w:t>, anche in sede di rendiconto,</w:t>
      </w:r>
      <w:r w:rsidR="00E74983" w:rsidRPr="00321C0F">
        <w:rPr>
          <w:rFonts w:ascii="Times New Roman" w:hAnsi="Times New Roman" w:cs="Times New Roman"/>
          <w:sz w:val="28"/>
          <w:szCs w:val="28"/>
        </w:rPr>
        <w:t xml:space="preserve"> </w:t>
      </w:r>
      <w:r>
        <w:rPr>
          <w:rFonts w:ascii="Times New Roman" w:hAnsi="Times New Roman" w:cs="Times New Roman"/>
          <w:sz w:val="28"/>
          <w:szCs w:val="28"/>
        </w:rPr>
        <w:t>“</w:t>
      </w:r>
      <w:r w:rsidR="00E74983" w:rsidRPr="00430168">
        <w:rPr>
          <w:rFonts w:ascii="Times New Roman" w:hAnsi="Times New Roman" w:cs="Times New Roman"/>
          <w:i/>
          <w:sz w:val="28"/>
          <w:szCs w:val="28"/>
        </w:rPr>
        <w:t>la facoltà prevista per gli esercizi dal 2015 al 2018, disciplinata nel presente principio</w:t>
      </w:r>
      <w:r>
        <w:rPr>
          <w:rFonts w:ascii="Times New Roman" w:hAnsi="Times New Roman" w:cs="Times New Roman"/>
          <w:sz w:val="28"/>
          <w:szCs w:val="28"/>
        </w:rPr>
        <w:t>”</w:t>
      </w:r>
      <w:r w:rsidR="00E74983" w:rsidRPr="00321C0F">
        <w:rPr>
          <w:rFonts w:ascii="Times New Roman" w:hAnsi="Times New Roman" w:cs="Times New Roman"/>
          <w:sz w:val="28"/>
          <w:szCs w:val="28"/>
        </w:rPr>
        <w:t>.</w:t>
      </w:r>
      <w:r>
        <w:rPr>
          <w:rFonts w:ascii="Times New Roman" w:hAnsi="Times New Roman" w:cs="Times New Roman"/>
          <w:sz w:val="28"/>
          <w:szCs w:val="28"/>
        </w:rPr>
        <w:t xml:space="preserve"> Tale possibilità, alla luce del suo tenore letterale, nonché della collocazione sistematica, era stata letta, da parte di alcuni enti territoriali, come legittimante la possibilità di ridurre, secondo le percentuali sopra esposte, anche la quota da accantonare a FCDE nel risultato d’amministrazione del primo esercizio successivo all’entrata in vigore del d.lgs. n. 118/2011 (il 2015). Tuttavia, la suddetta interpretazione </w:t>
      </w:r>
      <w:r w:rsidR="00721EBB">
        <w:rPr>
          <w:rFonts w:ascii="Times New Roman" w:hAnsi="Times New Roman" w:cs="Times New Roman"/>
          <w:sz w:val="28"/>
          <w:szCs w:val="28"/>
        </w:rPr>
        <w:t>si sarebbe posta in</w:t>
      </w:r>
      <w:r>
        <w:rPr>
          <w:rFonts w:ascii="Times New Roman" w:hAnsi="Times New Roman" w:cs="Times New Roman"/>
          <w:sz w:val="28"/>
          <w:szCs w:val="28"/>
        </w:rPr>
        <w:t xml:space="preserve"> distonia con l’accantonamento a FCDE effettuato, dai medesimi enti territoriali, in occasione dell’avvio del nuovo sistema di contabilità armonizzata, il riaccertamento straordinario dei residui al 1° gennaio 2015, di cui è stato parte integrante il primo accantonamento a FCDE nel risultato di amministrazione (art. 3, comma 7, lett. </w:t>
      </w:r>
      <w:r w:rsidR="00721EBB">
        <w:rPr>
          <w:rFonts w:ascii="Times New Roman" w:hAnsi="Times New Roman" w:cs="Times New Roman"/>
          <w:sz w:val="28"/>
          <w:szCs w:val="28"/>
        </w:rPr>
        <w:t>e), d.lgs. n. 118/2011). Quest’ultimo, in aderenza al medesimo Principio contabile applicato (cfr. paragrafo 9.3), è stato calcolato, al 1° gennaio 2015, in ragione della percentuale di smaltimento dei residui attivi, senza alcuna decurtazione percentuale. La quota da accantonare a FCDE nel risultato d’amministrazione al 1° gennaio 2015 (calcolato a seguito della complessiva operazione di riaccertamento straordinario dei residui) ha contribuito</w:t>
      </w:r>
      <w:r w:rsidR="0030139B">
        <w:rPr>
          <w:rFonts w:ascii="Times New Roman" w:hAnsi="Times New Roman" w:cs="Times New Roman"/>
          <w:sz w:val="28"/>
          <w:szCs w:val="28"/>
        </w:rPr>
        <w:t xml:space="preserve">, </w:t>
      </w:r>
      <w:r w:rsidR="00721EBB">
        <w:rPr>
          <w:rFonts w:ascii="Times New Roman" w:hAnsi="Times New Roman" w:cs="Times New Roman"/>
          <w:sz w:val="28"/>
          <w:szCs w:val="28"/>
        </w:rPr>
        <w:t>in misura assolutame</w:t>
      </w:r>
      <w:r w:rsidR="0030139B">
        <w:rPr>
          <w:rFonts w:ascii="Times New Roman" w:hAnsi="Times New Roman" w:cs="Times New Roman"/>
          <w:sz w:val="28"/>
          <w:szCs w:val="28"/>
        </w:rPr>
        <w:t>nte e statisticamente prevalente, a creare l’eventuale</w:t>
      </w:r>
      <w:r w:rsidR="00721EBB">
        <w:rPr>
          <w:rFonts w:ascii="Times New Roman" w:hAnsi="Times New Roman" w:cs="Times New Roman"/>
          <w:sz w:val="28"/>
          <w:szCs w:val="28"/>
        </w:rPr>
        <w:t xml:space="preserve"> maggiore disavanzo d’amministrazione, oggetto della facoltà di ripiano trentennale concessa dal legislatore (in quanto derivante dall’introduzione del nuovo sistema contabile)</w:t>
      </w:r>
      <w:r w:rsidR="002C2F70">
        <w:rPr>
          <w:rStyle w:val="Rimandonotaapidipagina"/>
          <w:rFonts w:ascii="Times New Roman" w:hAnsi="Times New Roman" w:cs="Times New Roman"/>
          <w:sz w:val="28"/>
          <w:szCs w:val="28"/>
        </w:rPr>
        <w:footnoteReference w:id="63"/>
      </w:r>
      <w:r w:rsidR="002C2F70">
        <w:rPr>
          <w:rFonts w:ascii="Times New Roman" w:hAnsi="Times New Roman" w:cs="Times New Roman"/>
          <w:sz w:val="28"/>
          <w:szCs w:val="28"/>
        </w:rPr>
        <w:t>. L’ipotetica concessione di una decurtazione percentuale della quota da accantonare a FCDE nel risultato d’amministrazione in sede di chiusura del primo rendiconto successivo avrebbe prodotto una corrispondente, simmetrica, riduzione del disavanzo derivante dal primo accantonamento a FCDE.</w:t>
      </w:r>
    </w:p>
    <w:p w14:paraId="0EB0391C" w14:textId="5F934AD1" w:rsidR="00E74983" w:rsidRPr="00321C0F" w:rsidRDefault="002C2F70"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Pertanto, la giurisprudenza contabile ha ritenuto che la facoltà concessa, sul punto, dal Principio contabile applicato si riferisca alla possibilità, prevista dal medesimo Principio, di utilizzare, in sede di determinazione della quota da accantonare a FCDE nel risultato di amministrazione, il c.d. “</w:t>
      </w:r>
      <w:r w:rsidRPr="00513969">
        <w:rPr>
          <w:rFonts w:ascii="Times New Roman" w:hAnsi="Times New Roman" w:cs="Times New Roman"/>
          <w:i/>
          <w:sz w:val="28"/>
          <w:szCs w:val="28"/>
          <w:u w:val="single"/>
        </w:rPr>
        <w:t>metodo semplificato</w:t>
      </w:r>
      <w:r>
        <w:rPr>
          <w:rFonts w:ascii="Times New Roman" w:hAnsi="Times New Roman" w:cs="Times New Roman"/>
          <w:sz w:val="28"/>
          <w:szCs w:val="28"/>
        </w:rPr>
        <w:t>”</w:t>
      </w:r>
      <w:r w:rsidR="0030139B">
        <w:rPr>
          <w:rStyle w:val="Rimandonotaapidipagina"/>
          <w:rFonts w:ascii="Times New Roman" w:hAnsi="Times New Roman" w:cs="Times New Roman"/>
          <w:sz w:val="28"/>
          <w:szCs w:val="28"/>
        </w:rPr>
        <w:footnoteReference w:id="64"/>
      </w:r>
    </w:p>
    <w:p w14:paraId="65EB8F5F" w14:textId="1E2756F6" w:rsidR="002C2F70" w:rsidRPr="00321C0F" w:rsidRDefault="0030139B" w:rsidP="002C2F70">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Quest’ultimo nasce da una premessa normativa espressa. Infatti, </w:t>
      </w:r>
      <w:r w:rsidR="002C2F70" w:rsidRPr="00321C0F">
        <w:rPr>
          <w:rFonts w:ascii="Times New Roman" w:hAnsi="Times New Roman" w:cs="Times New Roman"/>
          <w:sz w:val="28"/>
          <w:szCs w:val="28"/>
        </w:rPr>
        <w:t xml:space="preserve">la gestione ordinaria, annualmente, comporta la formazione di nuovi residui attivi e la riscossione o cancellazione dei vecchi crediti, </w:t>
      </w:r>
      <w:r>
        <w:rPr>
          <w:rFonts w:ascii="Times New Roman" w:hAnsi="Times New Roman" w:cs="Times New Roman"/>
          <w:sz w:val="28"/>
          <w:szCs w:val="28"/>
        </w:rPr>
        <w:t xml:space="preserve">per cui </w:t>
      </w:r>
      <w:r w:rsidR="002C2F70" w:rsidRPr="00321C0F">
        <w:rPr>
          <w:rFonts w:ascii="Times New Roman" w:hAnsi="Times New Roman" w:cs="Times New Roman"/>
          <w:sz w:val="28"/>
          <w:szCs w:val="28"/>
        </w:rPr>
        <w:t xml:space="preserve">lo stock complessivo dei residui attivi tende ad essere sostanzialmente stabile nel tempo. </w:t>
      </w:r>
      <w:r>
        <w:rPr>
          <w:rFonts w:ascii="Times New Roman" w:hAnsi="Times New Roman" w:cs="Times New Roman"/>
          <w:sz w:val="28"/>
          <w:szCs w:val="28"/>
        </w:rPr>
        <w:t>S</w:t>
      </w:r>
      <w:r w:rsidR="002C2F70" w:rsidRPr="00321C0F">
        <w:rPr>
          <w:rFonts w:ascii="Times New Roman" w:hAnsi="Times New Roman" w:cs="Times New Roman"/>
          <w:sz w:val="28"/>
          <w:szCs w:val="28"/>
        </w:rPr>
        <w:t>e</w:t>
      </w:r>
      <w:r>
        <w:rPr>
          <w:rFonts w:ascii="Times New Roman" w:hAnsi="Times New Roman" w:cs="Times New Roman"/>
          <w:sz w:val="28"/>
          <w:szCs w:val="28"/>
        </w:rPr>
        <w:t xml:space="preserve"> si mantiene come ipotesi che </w:t>
      </w:r>
      <w:r w:rsidR="002C2F70" w:rsidRPr="00321C0F">
        <w:rPr>
          <w:rFonts w:ascii="Times New Roman" w:hAnsi="Times New Roman" w:cs="Times New Roman"/>
          <w:sz w:val="28"/>
          <w:szCs w:val="28"/>
        </w:rPr>
        <w:t>l'ammontar</w:t>
      </w:r>
      <w:r w:rsidR="00513969">
        <w:rPr>
          <w:rFonts w:ascii="Times New Roman" w:hAnsi="Times New Roman" w:cs="Times New Roman"/>
          <w:sz w:val="28"/>
          <w:szCs w:val="28"/>
        </w:rPr>
        <w:t>e dei residui attivi non subisce</w:t>
      </w:r>
      <w:r w:rsidR="002C2F70" w:rsidRPr="00321C0F">
        <w:rPr>
          <w:rFonts w:ascii="Times New Roman" w:hAnsi="Times New Roman" w:cs="Times New Roman"/>
          <w:sz w:val="28"/>
          <w:szCs w:val="28"/>
        </w:rPr>
        <w:t xml:space="preserve"> significative variazioni nel tempo, anche la quota del risultato di amministrazione accantonata al fondo crediti di dubbia esigibilità tende ad essere stabile e, di conseguenza, gran parte dell'accantonamento a</w:t>
      </w:r>
      <w:r>
        <w:rPr>
          <w:rFonts w:ascii="Times New Roman" w:hAnsi="Times New Roman" w:cs="Times New Roman"/>
          <w:sz w:val="28"/>
          <w:szCs w:val="28"/>
        </w:rPr>
        <w:t xml:space="preserve"> FCDE,</w:t>
      </w:r>
      <w:r w:rsidR="002C2F70" w:rsidRPr="00321C0F">
        <w:rPr>
          <w:rFonts w:ascii="Times New Roman" w:hAnsi="Times New Roman" w:cs="Times New Roman"/>
          <w:sz w:val="28"/>
          <w:szCs w:val="28"/>
        </w:rPr>
        <w:t xml:space="preserve"> effettuato annualmente nel bilancio di previsione</w:t>
      </w:r>
      <w:r>
        <w:rPr>
          <w:rFonts w:ascii="Times New Roman" w:hAnsi="Times New Roman" w:cs="Times New Roman"/>
          <w:sz w:val="28"/>
          <w:szCs w:val="28"/>
        </w:rPr>
        <w:t>,</w:t>
      </w:r>
      <w:r w:rsidR="002C2F70" w:rsidRPr="00321C0F">
        <w:rPr>
          <w:rFonts w:ascii="Times New Roman" w:hAnsi="Times New Roman" w:cs="Times New Roman"/>
          <w:sz w:val="28"/>
          <w:szCs w:val="28"/>
        </w:rPr>
        <w:t xml:space="preserve"> non è destinato a confluire nella quota del risultato di amministrazione accantonata </w:t>
      </w:r>
      <w:r>
        <w:rPr>
          <w:rFonts w:ascii="Times New Roman" w:hAnsi="Times New Roman" w:cs="Times New Roman"/>
          <w:sz w:val="28"/>
          <w:szCs w:val="28"/>
        </w:rPr>
        <w:t>a tal fine</w:t>
      </w:r>
      <w:r w:rsidR="002C2F70" w:rsidRPr="00321C0F">
        <w:rPr>
          <w:rFonts w:ascii="Times New Roman" w:hAnsi="Times New Roman" w:cs="Times New Roman"/>
          <w:sz w:val="28"/>
          <w:szCs w:val="28"/>
        </w:rPr>
        <w:t xml:space="preserve">. </w:t>
      </w:r>
      <w:r w:rsidR="008B200A">
        <w:rPr>
          <w:rFonts w:ascii="Times New Roman" w:hAnsi="Times New Roman" w:cs="Times New Roman"/>
          <w:sz w:val="28"/>
          <w:szCs w:val="28"/>
        </w:rPr>
        <w:t>Pertanto</w:t>
      </w:r>
      <w:r w:rsidR="002C2F70" w:rsidRPr="00321C0F">
        <w:rPr>
          <w:rFonts w:ascii="Times New Roman" w:hAnsi="Times New Roman" w:cs="Times New Roman"/>
          <w:sz w:val="28"/>
          <w:szCs w:val="28"/>
        </w:rPr>
        <w:t xml:space="preserve">, in considerazione delle difficoltà </w:t>
      </w:r>
      <w:r w:rsidR="008B200A">
        <w:rPr>
          <w:rFonts w:ascii="Times New Roman" w:hAnsi="Times New Roman" w:cs="Times New Roman"/>
          <w:sz w:val="28"/>
          <w:szCs w:val="28"/>
        </w:rPr>
        <w:t xml:space="preserve">transitorie </w:t>
      </w:r>
      <w:r w:rsidR="002C2F70" w:rsidRPr="00321C0F">
        <w:rPr>
          <w:rFonts w:ascii="Times New Roman" w:hAnsi="Times New Roman" w:cs="Times New Roman"/>
          <w:sz w:val="28"/>
          <w:szCs w:val="28"/>
        </w:rPr>
        <w:t xml:space="preserve">di applicazione dei nuovi principi riguardanti la gestione dei residui attivi e del fondo crediti di dubbia esigibilità </w:t>
      </w:r>
      <w:r w:rsidR="008B200A">
        <w:rPr>
          <w:rFonts w:ascii="Times New Roman" w:hAnsi="Times New Roman" w:cs="Times New Roman"/>
          <w:sz w:val="28"/>
          <w:szCs w:val="28"/>
        </w:rPr>
        <w:t>(</w:t>
      </w:r>
      <w:r w:rsidR="002C2F70" w:rsidRPr="00321C0F">
        <w:rPr>
          <w:rFonts w:ascii="Times New Roman" w:hAnsi="Times New Roman" w:cs="Times New Roman"/>
          <w:sz w:val="28"/>
          <w:szCs w:val="28"/>
        </w:rPr>
        <w:t>che hanno determinato l'esigenza di rendere graduale l'accantonamento nel bilancio di previsione</w:t>
      </w:r>
      <w:r w:rsidR="008B200A">
        <w:rPr>
          <w:rFonts w:ascii="Times New Roman" w:hAnsi="Times New Roman" w:cs="Times New Roman"/>
          <w:sz w:val="28"/>
          <w:szCs w:val="28"/>
        </w:rPr>
        <w:t>)</w:t>
      </w:r>
      <w:r w:rsidR="002C2F70" w:rsidRPr="00321C0F">
        <w:rPr>
          <w:rFonts w:ascii="Times New Roman" w:hAnsi="Times New Roman" w:cs="Times New Roman"/>
          <w:sz w:val="28"/>
          <w:szCs w:val="28"/>
        </w:rPr>
        <w:t xml:space="preserve">, </w:t>
      </w:r>
      <w:r w:rsidR="008B200A" w:rsidRPr="00513969">
        <w:rPr>
          <w:rFonts w:ascii="Times New Roman" w:hAnsi="Times New Roman" w:cs="Times New Roman"/>
          <w:sz w:val="28"/>
          <w:szCs w:val="28"/>
          <w:u w:val="single"/>
        </w:rPr>
        <w:t xml:space="preserve">il Principio contabile applicato ha consentito che </w:t>
      </w:r>
      <w:r w:rsidR="002C2F70" w:rsidRPr="00513969">
        <w:rPr>
          <w:rFonts w:ascii="Times New Roman" w:hAnsi="Times New Roman" w:cs="Times New Roman"/>
          <w:sz w:val="28"/>
          <w:szCs w:val="28"/>
          <w:u w:val="single"/>
        </w:rPr>
        <w:t>la quota accantonata nel risultato di amministrazione per il fondo c</w:t>
      </w:r>
      <w:r w:rsidR="008B200A" w:rsidRPr="00513969">
        <w:rPr>
          <w:rFonts w:ascii="Times New Roman" w:hAnsi="Times New Roman" w:cs="Times New Roman"/>
          <w:sz w:val="28"/>
          <w:szCs w:val="28"/>
          <w:u w:val="single"/>
        </w:rPr>
        <w:t>rediti di dubbia esigibilità possa, fino al rendiconto 2018,</w:t>
      </w:r>
      <w:r w:rsidR="002C2F70" w:rsidRPr="00513969">
        <w:rPr>
          <w:rFonts w:ascii="Times New Roman" w:hAnsi="Times New Roman" w:cs="Times New Roman"/>
          <w:sz w:val="28"/>
          <w:szCs w:val="28"/>
          <w:u w:val="single"/>
        </w:rPr>
        <w:t xml:space="preserve"> essere determinata per un importo non inferiore al seguente</w:t>
      </w:r>
      <w:r w:rsidR="008B200A">
        <w:rPr>
          <w:rStyle w:val="Rimandonotaapidipagina"/>
          <w:rFonts w:ascii="Times New Roman" w:hAnsi="Times New Roman" w:cs="Times New Roman"/>
          <w:sz w:val="28"/>
          <w:szCs w:val="28"/>
        </w:rPr>
        <w:footnoteReference w:id="65"/>
      </w:r>
      <w:r w:rsidR="002C2F70" w:rsidRPr="00321C0F">
        <w:rPr>
          <w:rFonts w:ascii="Times New Roman" w:hAnsi="Times New Roman" w:cs="Times New Roman"/>
          <w:sz w:val="28"/>
          <w:szCs w:val="28"/>
        </w:rPr>
        <w:t xml:space="preserve">: </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55"/>
      </w:tblGrid>
      <w:tr w:rsidR="002C2F70" w:rsidRPr="00A345B1" w14:paraId="1981F5E9" w14:textId="77777777" w:rsidTr="00A634C0">
        <w:tc>
          <w:tcPr>
            <w:tcW w:w="0" w:type="auto"/>
            <w:tcMar>
              <w:top w:w="20" w:type="dxa"/>
              <w:left w:w="20" w:type="dxa"/>
              <w:bottom w:w="20" w:type="dxa"/>
              <w:right w:w="20" w:type="dxa"/>
            </w:tcMar>
            <w:vAlign w:val="center"/>
            <w:hideMark/>
          </w:tcPr>
          <w:p w14:paraId="18E80E86" w14:textId="11222FCA" w:rsidR="002C2F70" w:rsidRPr="00AA513F" w:rsidRDefault="002C2F70" w:rsidP="00A634C0">
            <w:pPr>
              <w:jc w:val="both"/>
              <w:rPr>
                <w:sz w:val="24"/>
              </w:rPr>
            </w:pPr>
            <w:r w:rsidRPr="00AA513F">
              <w:rPr>
                <w:sz w:val="24"/>
              </w:rPr>
              <w:t xml:space="preserve">+ Fondo crediti di dubbia esigibilità nel risultato di amministrazione al 1° gennaio dell'esercizio cui il rendiconto si riferisce </w:t>
            </w:r>
          </w:p>
        </w:tc>
      </w:tr>
      <w:tr w:rsidR="002C2F70" w:rsidRPr="00A345B1" w14:paraId="52D8A19F" w14:textId="77777777" w:rsidTr="00A634C0">
        <w:tc>
          <w:tcPr>
            <w:tcW w:w="0" w:type="auto"/>
            <w:tcMar>
              <w:top w:w="20" w:type="dxa"/>
              <w:left w:w="20" w:type="dxa"/>
              <w:bottom w:w="20" w:type="dxa"/>
              <w:right w:w="20" w:type="dxa"/>
            </w:tcMar>
            <w:vAlign w:val="center"/>
            <w:hideMark/>
          </w:tcPr>
          <w:p w14:paraId="29C3AD35" w14:textId="0CFCE42E" w:rsidR="002C2F70" w:rsidRPr="00AA513F" w:rsidRDefault="002C2F70" w:rsidP="00A634C0">
            <w:pPr>
              <w:jc w:val="both"/>
              <w:rPr>
                <w:sz w:val="24"/>
              </w:rPr>
            </w:pPr>
            <w:r w:rsidRPr="00AA513F">
              <w:rPr>
                <w:sz w:val="24"/>
              </w:rPr>
              <w:t xml:space="preserve">- utilizzi del fondo crediti di dubbia esigibilità effettuati per la cancellazione o lo stralcio dei crediti </w:t>
            </w:r>
          </w:p>
        </w:tc>
      </w:tr>
      <w:tr w:rsidR="002C2F70" w:rsidRPr="00A345B1" w14:paraId="01E77554" w14:textId="77777777" w:rsidTr="00A634C0">
        <w:tc>
          <w:tcPr>
            <w:tcW w:w="0" w:type="auto"/>
            <w:tcMar>
              <w:top w:w="20" w:type="dxa"/>
              <w:left w:w="20" w:type="dxa"/>
              <w:bottom w:w="20" w:type="dxa"/>
              <w:right w:w="20" w:type="dxa"/>
            </w:tcMar>
            <w:vAlign w:val="center"/>
            <w:hideMark/>
          </w:tcPr>
          <w:p w14:paraId="5BBD22A8" w14:textId="5EAAA7D4" w:rsidR="002C2F70" w:rsidRPr="00AA513F" w:rsidRDefault="002C2F70" w:rsidP="00A634C0">
            <w:pPr>
              <w:jc w:val="both"/>
              <w:rPr>
                <w:sz w:val="24"/>
              </w:rPr>
            </w:pPr>
            <w:r w:rsidRPr="00AA513F">
              <w:rPr>
                <w:sz w:val="24"/>
              </w:rPr>
              <w:t xml:space="preserve">+ importo definitivamente accantonato nel bilancio di previsione per il Fondo crediti di dubbia esigibilità, nell'esercizio cui il rendiconto si riferisce </w:t>
            </w:r>
          </w:p>
        </w:tc>
      </w:tr>
      <w:tr w:rsidR="002C2F70" w:rsidRPr="00A345B1" w14:paraId="617C2B1E" w14:textId="77777777" w:rsidTr="00A634C0">
        <w:tc>
          <w:tcPr>
            <w:tcW w:w="10155" w:type="dxa"/>
            <w:vAlign w:val="center"/>
            <w:hideMark/>
          </w:tcPr>
          <w:p w14:paraId="278CD961" w14:textId="77777777" w:rsidR="002C2F70" w:rsidRPr="00A345B1" w:rsidRDefault="002C2F70" w:rsidP="00A634C0">
            <w:pPr>
              <w:jc w:val="both"/>
              <w:rPr>
                <w:sz w:val="24"/>
              </w:rPr>
            </w:pPr>
          </w:p>
        </w:tc>
      </w:tr>
    </w:tbl>
    <w:p w14:paraId="16A5F696" w14:textId="77777777" w:rsidR="006C3BD4" w:rsidRDefault="006C3BD4" w:rsidP="00321C0F">
      <w:pPr>
        <w:pStyle w:val="Corpotesto"/>
        <w:spacing w:before="0" w:after="120"/>
        <w:jc w:val="both"/>
        <w:rPr>
          <w:sz w:val="24"/>
          <w:highlight w:val="yellow"/>
        </w:rPr>
      </w:pPr>
    </w:p>
    <w:p w14:paraId="73482DEA" w14:textId="113F1307" w:rsidR="002C2F70" w:rsidRPr="00EE5281" w:rsidRDefault="002C2F70" w:rsidP="00321C0F">
      <w:pPr>
        <w:pStyle w:val="Corpotesto"/>
        <w:spacing w:before="0" w:after="120"/>
        <w:jc w:val="both"/>
        <w:rPr>
          <w:rFonts w:ascii="Times New Roman" w:hAnsi="Times New Roman" w:cs="Times New Roman"/>
          <w:sz w:val="28"/>
          <w:szCs w:val="28"/>
        </w:rPr>
      </w:pPr>
      <w:r w:rsidRPr="00EE5281">
        <w:rPr>
          <w:rFonts w:ascii="Times New Roman" w:hAnsi="Times New Roman" w:cs="Times New Roman"/>
          <w:sz w:val="28"/>
          <w:szCs w:val="28"/>
        </w:rPr>
        <w:t>L'adozione di tale facoltà</w:t>
      </w:r>
      <w:r w:rsidR="005B470D">
        <w:rPr>
          <w:rFonts w:ascii="Times New Roman" w:hAnsi="Times New Roman" w:cs="Times New Roman"/>
          <w:sz w:val="28"/>
          <w:szCs w:val="28"/>
        </w:rPr>
        <w:t xml:space="preserve">, precisa il </w:t>
      </w:r>
      <w:r w:rsidR="008B200A">
        <w:rPr>
          <w:rFonts w:ascii="Times New Roman" w:hAnsi="Times New Roman" w:cs="Times New Roman"/>
          <w:sz w:val="28"/>
          <w:szCs w:val="28"/>
        </w:rPr>
        <w:t xml:space="preserve">medesimo </w:t>
      </w:r>
      <w:r w:rsidR="005B470D">
        <w:rPr>
          <w:rFonts w:ascii="Times New Roman" w:hAnsi="Times New Roman" w:cs="Times New Roman"/>
          <w:sz w:val="28"/>
          <w:szCs w:val="28"/>
        </w:rPr>
        <w:t>Principio contabile,</w:t>
      </w:r>
      <w:r w:rsidRPr="00EE5281">
        <w:rPr>
          <w:rFonts w:ascii="Times New Roman" w:hAnsi="Times New Roman" w:cs="Times New Roman"/>
          <w:sz w:val="28"/>
          <w:szCs w:val="28"/>
        </w:rPr>
        <w:t xml:space="preserve"> è effettuata tenendo conto della situazione finanziaria complessiva dell'ente e del risc</w:t>
      </w:r>
      <w:r w:rsidR="00EE5281">
        <w:rPr>
          <w:rFonts w:ascii="Times New Roman" w:hAnsi="Times New Roman" w:cs="Times New Roman"/>
          <w:sz w:val="28"/>
          <w:szCs w:val="28"/>
        </w:rPr>
        <w:t>hio di rinviare oneri all'eserci</w:t>
      </w:r>
      <w:r w:rsidRPr="00EE5281">
        <w:rPr>
          <w:rFonts w:ascii="Times New Roman" w:hAnsi="Times New Roman" w:cs="Times New Roman"/>
          <w:sz w:val="28"/>
          <w:szCs w:val="28"/>
        </w:rPr>
        <w:t>zio 2019</w:t>
      </w:r>
      <w:r w:rsidR="00EE5281">
        <w:rPr>
          <w:rStyle w:val="Rimandonotaapidipagina"/>
          <w:rFonts w:ascii="Times New Roman" w:hAnsi="Times New Roman" w:cs="Times New Roman"/>
          <w:sz w:val="28"/>
          <w:szCs w:val="28"/>
        </w:rPr>
        <w:footnoteReference w:id="66"/>
      </w:r>
      <w:r w:rsidRPr="00EE5281">
        <w:rPr>
          <w:rFonts w:ascii="Times New Roman" w:hAnsi="Times New Roman" w:cs="Times New Roman"/>
          <w:sz w:val="28"/>
          <w:szCs w:val="28"/>
        </w:rPr>
        <w:t>.</w:t>
      </w:r>
    </w:p>
    <w:p w14:paraId="330B84A9" w14:textId="2C994186" w:rsidR="00E74983" w:rsidRPr="00321C0F" w:rsidRDefault="008B200A"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Tornando alla disciplina di carattere generale, il Principio contabile afferma che q</w:t>
      </w:r>
      <w:r w:rsidR="00E74983" w:rsidRPr="00321C0F">
        <w:rPr>
          <w:rFonts w:ascii="Times New Roman" w:hAnsi="Times New Roman" w:cs="Times New Roman"/>
          <w:sz w:val="28"/>
          <w:szCs w:val="28"/>
        </w:rPr>
        <w:t>uando un credito è dichiarato definitivamente ed assolutamente inesigibile, lo si elimina dalle scritture finanziarie e, per lo stesso importo</w:t>
      </w:r>
      <w:r w:rsidR="005B470D">
        <w:rPr>
          <w:rFonts w:ascii="Times New Roman" w:hAnsi="Times New Roman" w:cs="Times New Roman"/>
          <w:sz w:val="28"/>
          <w:szCs w:val="28"/>
        </w:rPr>
        <w:t xml:space="preserve">, </w:t>
      </w:r>
      <w:r w:rsidR="00E74983" w:rsidRPr="00321C0F">
        <w:rPr>
          <w:rFonts w:ascii="Times New Roman" w:hAnsi="Times New Roman" w:cs="Times New Roman"/>
          <w:sz w:val="28"/>
          <w:szCs w:val="28"/>
        </w:rPr>
        <w:t xml:space="preserve">si riduce la quota accantonata nel risultato di amministrazione a titolo di </w:t>
      </w:r>
      <w:r w:rsidR="00765912">
        <w:rPr>
          <w:rFonts w:ascii="Times New Roman" w:hAnsi="Times New Roman" w:cs="Times New Roman"/>
          <w:sz w:val="28"/>
          <w:szCs w:val="28"/>
        </w:rPr>
        <w:t>FCDE</w:t>
      </w:r>
      <w:r w:rsidR="007F4090">
        <w:rPr>
          <w:rStyle w:val="Rimandonotaapidipagina"/>
          <w:rFonts w:ascii="Times New Roman" w:hAnsi="Times New Roman" w:cs="Times New Roman"/>
          <w:sz w:val="28"/>
          <w:szCs w:val="28"/>
        </w:rPr>
        <w:footnoteReference w:id="67"/>
      </w:r>
      <w:r w:rsidR="00E74983" w:rsidRPr="00321C0F">
        <w:rPr>
          <w:rFonts w:ascii="Times New Roman" w:hAnsi="Times New Roman" w:cs="Times New Roman"/>
          <w:sz w:val="28"/>
          <w:szCs w:val="28"/>
        </w:rPr>
        <w:t xml:space="preserve">. </w:t>
      </w:r>
    </w:p>
    <w:p w14:paraId="3029EE9D" w14:textId="65379D53" w:rsidR="00E74983" w:rsidRDefault="007672EA" w:rsidP="00321C0F">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Si ricorda, infine, che l’</w:t>
      </w:r>
      <w:r w:rsidR="00E74983" w:rsidRPr="00321C0F">
        <w:rPr>
          <w:rFonts w:ascii="Times New Roman" w:hAnsi="Times New Roman" w:cs="Times New Roman"/>
          <w:sz w:val="28"/>
          <w:szCs w:val="28"/>
        </w:rPr>
        <w:t>eventuale quota del risultato di amministrazione "</w:t>
      </w:r>
      <w:r w:rsidR="00E74983" w:rsidRPr="007672EA">
        <w:rPr>
          <w:rFonts w:ascii="Times New Roman" w:hAnsi="Times New Roman" w:cs="Times New Roman"/>
          <w:i/>
          <w:sz w:val="28"/>
          <w:szCs w:val="28"/>
        </w:rPr>
        <w:t>svincolata</w:t>
      </w:r>
      <w:r w:rsidR="00513969">
        <w:rPr>
          <w:rFonts w:ascii="Times New Roman" w:hAnsi="Times New Roman" w:cs="Times New Roman"/>
          <w:sz w:val="28"/>
          <w:szCs w:val="28"/>
        </w:rPr>
        <w:t>"</w:t>
      </w:r>
      <w:r>
        <w:rPr>
          <w:rFonts w:ascii="Times New Roman" w:hAnsi="Times New Roman" w:cs="Times New Roman"/>
          <w:sz w:val="28"/>
          <w:szCs w:val="28"/>
        </w:rPr>
        <w:t xml:space="preserve"> (o meglio, “</w:t>
      </w:r>
      <w:proofErr w:type="spellStart"/>
      <w:r w:rsidRPr="00513969">
        <w:rPr>
          <w:rFonts w:ascii="Times New Roman" w:hAnsi="Times New Roman" w:cs="Times New Roman"/>
          <w:i/>
          <w:sz w:val="28"/>
          <w:szCs w:val="28"/>
        </w:rPr>
        <w:t>dis</w:t>
      </w:r>
      <w:proofErr w:type="spellEnd"/>
      <w:r w:rsidRPr="00513969">
        <w:rPr>
          <w:rFonts w:ascii="Times New Roman" w:hAnsi="Times New Roman" w:cs="Times New Roman"/>
          <w:i/>
          <w:sz w:val="28"/>
          <w:szCs w:val="28"/>
        </w:rPr>
        <w:t>-accantonata</w:t>
      </w:r>
      <w:r>
        <w:rPr>
          <w:rFonts w:ascii="Times New Roman" w:hAnsi="Times New Roman" w:cs="Times New Roman"/>
          <w:sz w:val="28"/>
          <w:szCs w:val="28"/>
        </w:rPr>
        <w:t>”)</w:t>
      </w:r>
      <w:r w:rsidR="00F04651">
        <w:rPr>
          <w:rFonts w:ascii="Times New Roman" w:hAnsi="Times New Roman" w:cs="Times New Roman"/>
          <w:sz w:val="28"/>
          <w:szCs w:val="28"/>
        </w:rPr>
        <w:t>,</w:t>
      </w:r>
      <w:r w:rsidR="00E74983" w:rsidRPr="00321C0F">
        <w:rPr>
          <w:rFonts w:ascii="Times New Roman" w:hAnsi="Times New Roman" w:cs="Times New Roman"/>
          <w:sz w:val="28"/>
          <w:szCs w:val="28"/>
        </w:rPr>
        <w:t xml:space="preserve"> sulla base della determinazione dell'ammontare definitivo del fondo crediti di dubbia esigibilità rispetto alla consistenza dei residui attivi di</w:t>
      </w:r>
      <w:r>
        <w:rPr>
          <w:rFonts w:ascii="Times New Roman" w:hAnsi="Times New Roman" w:cs="Times New Roman"/>
          <w:sz w:val="28"/>
          <w:szCs w:val="28"/>
        </w:rPr>
        <w:t xml:space="preserve"> fine </w:t>
      </w:r>
      <w:r w:rsidR="00E74983" w:rsidRPr="00321C0F">
        <w:rPr>
          <w:rFonts w:ascii="Times New Roman" w:hAnsi="Times New Roman" w:cs="Times New Roman"/>
          <w:sz w:val="28"/>
          <w:szCs w:val="28"/>
        </w:rPr>
        <w:t>anno, può essere destinata alla copertura dello stanziamento riguardante il fondo crediti di dubbia esigibilità del bilancio di previsione dell'esercizio successivo a quello cui il rendiconto si riferisce</w:t>
      </w:r>
      <w:r>
        <w:rPr>
          <w:rStyle w:val="Rimandonotaapidipagina"/>
          <w:rFonts w:ascii="Times New Roman" w:hAnsi="Times New Roman" w:cs="Times New Roman"/>
          <w:sz w:val="28"/>
          <w:szCs w:val="28"/>
        </w:rPr>
        <w:footnoteReference w:id="68"/>
      </w:r>
      <w:r w:rsidR="00E74983" w:rsidRPr="00321C0F">
        <w:rPr>
          <w:rFonts w:ascii="Times New Roman" w:hAnsi="Times New Roman" w:cs="Times New Roman"/>
          <w:sz w:val="28"/>
          <w:szCs w:val="28"/>
        </w:rPr>
        <w:t xml:space="preserve">. </w:t>
      </w:r>
    </w:p>
    <w:p w14:paraId="51923803" w14:textId="40B66290" w:rsidR="00E74983" w:rsidRDefault="00E74983" w:rsidP="00A634C0">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 xml:space="preserve">Si fa rinvio, per le </w:t>
      </w:r>
      <w:r w:rsidR="00A634C0">
        <w:rPr>
          <w:rFonts w:ascii="Times New Roman" w:hAnsi="Times New Roman" w:cs="Times New Roman"/>
          <w:sz w:val="28"/>
          <w:szCs w:val="28"/>
        </w:rPr>
        <w:t xml:space="preserve">ulteriori </w:t>
      </w:r>
      <w:r w:rsidRPr="006309F9">
        <w:rPr>
          <w:rFonts w:ascii="Times New Roman" w:hAnsi="Times New Roman" w:cs="Times New Roman"/>
          <w:sz w:val="28"/>
          <w:szCs w:val="28"/>
        </w:rPr>
        <w:t xml:space="preserve">modalità applicative, oltre </w:t>
      </w:r>
      <w:r w:rsidR="00384957">
        <w:rPr>
          <w:rFonts w:ascii="Times New Roman" w:hAnsi="Times New Roman" w:cs="Times New Roman"/>
          <w:sz w:val="28"/>
          <w:szCs w:val="28"/>
        </w:rPr>
        <w:t xml:space="preserve">che </w:t>
      </w:r>
      <w:r w:rsidRPr="006309F9">
        <w:rPr>
          <w:rFonts w:ascii="Times New Roman" w:hAnsi="Times New Roman" w:cs="Times New Roman"/>
          <w:sz w:val="28"/>
          <w:szCs w:val="28"/>
        </w:rPr>
        <w:t>ai criteri indicati nel</w:t>
      </w:r>
      <w:r w:rsidR="00A634C0">
        <w:rPr>
          <w:rFonts w:ascii="Times New Roman" w:hAnsi="Times New Roman" w:cs="Times New Roman"/>
          <w:sz w:val="28"/>
          <w:szCs w:val="28"/>
        </w:rPr>
        <w:t>l’Esempio n. 5 del</w:t>
      </w:r>
      <w:r w:rsidRPr="006309F9">
        <w:rPr>
          <w:rFonts w:ascii="Times New Roman" w:hAnsi="Times New Roman" w:cs="Times New Roman"/>
          <w:sz w:val="28"/>
          <w:szCs w:val="28"/>
        </w:rPr>
        <w:t xml:space="preserve"> Principio applicato della contabilità finanziaria, agli orientamenti di carattere generale contenuti nelle deliberazioni della Sezione delle autonomie</w:t>
      </w:r>
      <w:r w:rsidRPr="006309F9">
        <w:rPr>
          <w:rStyle w:val="Rimandonotaapidipagina"/>
          <w:rFonts w:ascii="Times New Roman" w:hAnsi="Times New Roman" w:cs="Times New Roman"/>
          <w:sz w:val="28"/>
          <w:szCs w:val="28"/>
        </w:rPr>
        <w:footnoteReference w:id="69"/>
      </w:r>
      <w:r w:rsidRPr="006309F9">
        <w:rPr>
          <w:rFonts w:ascii="Times New Roman" w:hAnsi="Times New Roman" w:cs="Times New Roman"/>
          <w:sz w:val="28"/>
          <w:szCs w:val="28"/>
        </w:rPr>
        <w:t xml:space="preserve"> ed agli approfondimenti interpretativi contenuti in</w:t>
      </w:r>
      <w:r w:rsidR="009D2947">
        <w:rPr>
          <w:rFonts w:ascii="Times New Roman" w:hAnsi="Times New Roman" w:cs="Times New Roman"/>
          <w:sz w:val="28"/>
          <w:szCs w:val="28"/>
        </w:rPr>
        <w:t xml:space="preserve"> plurime pronunce della magistratura contabile</w:t>
      </w:r>
      <w:r w:rsidR="009D2947">
        <w:rPr>
          <w:rStyle w:val="Rimandonotaapidipagina"/>
          <w:rFonts w:ascii="Times New Roman" w:hAnsi="Times New Roman" w:cs="Times New Roman"/>
          <w:sz w:val="28"/>
          <w:szCs w:val="28"/>
        </w:rPr>
        <w:footnoteReference w:id="70"/>
      </w:r>
      <w:r w:rsidR="009D2947">
        <w:rPr>
          <w:rFonts w:ascii="Times New Roman" w:hAnsi="Times New Roman" w:cs="Times New Roman"/>
          <w:sz w:val="28"/>
          <w:szCs w:val="28"/>
        </w:rPr>
        <w:t xml:space="preserve">, </w:t>
      </w:r>
      <w:r w:rsidR="00A634C0" w:rsidRPr="006309F9">
        <w:rPr>
          <w:rFonts w:ascii="Times New Roman" w:hAnsi="Times New Roman" w:cs="Times New Roman"/>
          <w:sz w:val="28"/>
          <w:szCs w:val="28"/>
        </w:rPr>
        <w:t>concernenti, in particolare, le differenza fra “accantonamento” di competenza e “fondo” nel risultato di amministrazione e sul corretto utilizzo del metodo c.d. “semplificato” nella fase transito</w:t>
      </w:r>
      <w:r w:rsidR="009D2947">
        <w:rPr>
          <w:rFonts w:ascii="Times New Roman" w:hAnsi="Times New Roman" w:cs="Times New Roman"/>
          <w:sz w:val="28"/>
          <w:szCs w:val="28"/>
        </w:rPr>
        <w:t>ria programmata dal legislatore</w:t>
      </w:r>
      <w:r w:rsidR="00A634C0" w:rsidRPr="006309F9">
        <w:rPr>
          <w:rStyle w:val="Rimandonotaapidipagina"/>
          <w:rFonts w:ascii="Times New Roman" w:hAnsi="Times New Roman" w:cs="Times New Roman"/>
          <w:bCs/>
          <w:sz w:val="28"/>
          <w:szCs w:val="28"/>
        </w:rPr>
        <w:footnoteReference w:id="71"/>
      </w:r>
      <w:r w:rsidR="00A634C0">
        <w:rPr>
          <w:rFonts w:ascii="Times New Roman" w:hAnsi="Times New Roman" w:cs="Times New Roman"/>
          <w:sz w:val="28"/>
          <w:szCs w:val="28"/>
        </w:rPr>
        <w:t>, nonché i criteri di determinazione, non liberi, ma motivatamente discrezionali, in base ai quali individuare l</w:t>
      </w:r>
      <w:r w:rsidR="009D2947">
        <w:rPr>
          <w:rFonts w:ascii="Times New Roman" w:hAnsi="Times New Roman" w:cs="Times New Roman"/>
          <w:sz w:val="28"/>
          <w:szCs w:val="28"/>
        </w:rPr>
        <w:t>e entrate di dubbia esigibilità</w:t>
      </w:r>
      <w:r w:rsidR="009D2947">
        <w:rPr>
          <w:rStyle w:val="Rimandonotaapidipagina"/>
          <w:rFonts w:ascii="Times New Roman" w:hAnsi="Times New Roman" w:cs="Times New Roman"/>
          <w:sz w:val="28"/>
          <w:szCs w:val="28"/>
        </w:rPr>
        <w:footnoteReference w:id="72"/>
      </w:r>
      <w:r w:rsidRPr="006309F9">
        <w:rPr>
          <w:rFonts w:ascii="Times New Roman" w:hAnsi="Times New Roman" w:cs="Times New Roman"/>
          <w:sz w:val="28"/>
          <w:szCs w:val="28"/>
        </w:rPr>
        <w:t>.</w:t>
      </w:r>
    </w:p>
    <w:p w14:paraId="3D5B4783" w14:textId="77777777" w:rsidR="00E74983" w:rsidRPr="006309F9" w:rsidRDefault="00E74983" w:rsidP="006309F9">
      <w:pPr>
        <w:pStyle w:val="Corpotesto"/>
        <w:spacing w:before="0" w:after="120"/>
        <w:jc w:val="both"/>
        <w:rPr>
          <w:rFonts w:ascii="Times New Roman" w:hAnsi="Times New Roman" w:cs="Times New Roman"/>
          <w:sz w:val="28"/>
          <w:szCs w:val="28"/>
        </w:rPr>
      </w:pPr>
    </w:p>
    <w:p w14:paraId="60E1E62E" w14:textId="09CF3A93" w:rsidR="00E74983" w:rsidRDefault="00FF4D84" w:rsidP="00E74983">
      <w:pPr>
        <w:pStyle w:val="Titolo3"/>
      </w:pPr>
      <w:bookmarkStart w:id="6" w:name="_Toc1148499"/>
      <w:r>
        <w:t>1</w:t>
      </w:r>
      <w:r w:rsidR="00970E2C">
        <w:t xml:space="preserve">.2.2. </w:t>
      </w:r>
      <w:r w:rsidR="00E74983">
        <w:t>FCDE e controllo interno sugli equilibri finanziari</w:t>
      </w:r>
      <w:bookmarkEnd w:id="6"/>
    </w:p>
    <w:p w14:paraId="30077ED5" w14:textId="212DED39" w:rsidR="00171FFB" w:rsidRPr="006309F9" w:rsidRDefault="00A634C0"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La Sezione delle Autonomie della Corte dei conti, in varie deliberazioni (n. 23/2013/INPR, </w:t>
      </w:r>
      <w:r w:rsidR="00171FFB" w:rsidRPr="006309F9">
        <w:rPr>
          <w:rFonts w:ascii="Times New Roman" w:hAnsi="Times New Roman" w:cs="Times New Roman"/>
          <w:sz w:val="28"/>
          <w:szCs w:val="28"/>
        </w:rPr>
        <w:t xml:space="preserve">n. 18/2014/INPR, </w:t>
      </w:r>
      <w:r>
        <w:rPr>
          <w:rFonts w:ascii="Times New Roman" w:hAnsi="Times New Roman" w:cs="Times New Roman"/>
          <w:sz w:val="28"/>
          <w:szCs w:val="28"/>
        </w:rPr>
        <w:t>n. 32/2015/INPR), ha evidenziato il rapporto, ai fini del mantenimento degli equilibri di bilancio, fra la corretta determinazione del fondo crediti di dubbia esigibilità (nel bilancio di previsione o a rendiconto), ed il controllo interno sugli equilibri finanziari dell’ente locale, disciplinato d</w:t>
      </w:r>
      <w:r w:rsidR="00171FFB" w:rsidRPr="006309F9">
        <w:rPr>
          <w:rFonts w:ascii="Times New Roman" w:hAnsi="Times New Roman" w:cs="Times New Roman"/>
          <w:sz w:val="28"/>
          <w:szCs w:val="28"/>
        </w:rPr>
        <w:t>all’art. 147, comma 2, lettera c)</w:t>
      </w:r>
      <w:r>
        <w:rPr>
          <w:rFonts w:ascii="Times New Roman" w:hAnsi="Times New Roman" w:cs="Times New Roman"/>
          <w:sz w:val="28"/>
          <w:szCs w:val="28"/>
        </w:rPr>
        <w:t>,</w:t>
      </w:r>
      <w:r w:rsidR="00171FFB" w:rsidRPr="006309F9">
        <w:rPr>
          <w:rFonts w:ascii="Times New Roman" w:hAnsi="Times New Roman" w:cs="Times New Roman"/>
          <w:sz w:val="28"/>
          <w:szCs w:val="28"/>
        </w:rPr>
        <w:t xml:space="preserve"> del </w:t>
      </w:r>
      <w:r>
        <w:rPr>
          <w:rFonts w:ascii="Times New Roman" w:hAnsi="Times New Roman" w:cs="Times New Roman"/>
          <w:sz w:val="28"/>
          <w:szCs w:val="28"/>
        </w:rPr>
        <w:t>d.lgs. n. 267/2000</w:t>
      </w:r>
      <w:r w:rsidR="00171FFB" w:rsidRPr="006309F9">
        <w:rPr>
          <w:rFonts w:ascii="Times New Roman" w:hAnsi="Times New Roman" w:cs="Times New Roman"/>
          <w:sz w:val="28"/>
          <w:szCs w:val="28"/>
        </w:rPr>
        <w:t xml:space="preserve"> </w:t>
      </w:r>
      <w:r>
        <w:rPr>
          <w:rFonts w:ascii="Times New Roman" w:hAnsi="Times New Roman" w:cs="Times New Roman"/>
          <w:sz w:val="28"/>
          <w:szCs w:val="28"/>
        </w:rPr>
        <w:t xml:space="preserve">(come novellato </w:t>
      </w:r>
      <w:r w:rsidR="00171FFB" w:rsidRPr="006309F9">
        <w:rPr>
          <w:rFonts w:ascii="Times New Roman" w:hAnsi="Times New Roman" w:cs="Times New Roman"/>
          <w:sz w:val="28"/>
          <w:szCs w:val="28"/>
        </w:rPr>
        <w:t xml:space="preserve">dall’art. 3 del d.l. n. 174/2012, </w:t>
      </w:r>
      <w:r>
        <w:rPr>
          <w:rFonts w:ascii="Times New Roman" w:hAnsi="Times New Roman" w:cs="Times New Roman"/>
          <w:sz w:val="28"/>
          <w:szCs w:val="28"/>
        </w:rPr>
        <w:t>convertito dalla legge n. 213/2012)</w:t>
      </w:r>
      <w:r w:rsidR="00701A9F">
        <w:rPr>
          <w:rFonts w:ascii="Times New Roman" w:hAnsi="Times New Roman" w:cs="Times New Roman"/>
          <w:sz w:val="28"/>
          <w:szCs w:val="28"/>
        </w:rPr>
        <w:t xml:space="preserve">. La predetta forma di controllo interno, infatti, introdotta dalla riforma del 2012, mira a </w:t>
      </w:r>
      <w:r w:rsidR="00171FFB" w:rsidRPr="006309F9">
        <w:rPr>
          <w:rFonts w:ascii="Times New Roman" w:hAnsi="Times New Roman" w:cs="Times New Roman"/>
          <w:sz w:val="28"/>
          <w:szCs w:val="28"/>
        </w:rPr>
        <w:t>“</w:t>
      </w:r>
      <w:r w:rsidR="00171FFB" w:rsidRPr="00701A9F">
        <w:rPr>
          <w:rFonts w:ascii="Times New Roman" w:hAnsi="Times New Roman" w:cs="Times New Roman"/>
          <w:i/>
          <w:sz w:val="28"/>
          <w:szCs w:val="28"/>
        </w:rPr>
        <w:t>garantire il costante controllo degli equilibri finanziari della gestione di competenza, della gestione dei residui e della gestione di cassa, anche ai fini della realizzazione degli obiettivi di finanza pubblica determinati dal patto di stabilità interno, mediante l’attività di coordinamento e di vigilanza da parte del responsabile del servizio finanziario, nonché l’attività di controllo da parte dei responsabili dei servizi</w:t>
      </w:r>
      <w:r w:rsidR="00171FFB" w:rsidRPr="006309F9">
        <w:rPr>
          <w:rFonts w:ascii="Times New Roman" w:hAnsi="Times New Roman" w:cs="Times New Roman"/>
          <w:sz w:val="28"/>
          <w:szCs w:val="28"/>
        </w:rPr>
        <w:t>”.</w:t>
      </w:r>
    </w:p>
    <w:p w14:paraId="2A997A10" w14:textId="28E4AA5F" w:rsidR="00171FFB" w:rsidRPr="006309F9" w:rsidRDefault="00171FFB"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La previsione delle entr</w:t>
      </w:r>
      <w:r w:rsidR="00701A9F">
        <w:rPr>
          <w:rFonts w:ascii="Times New Roman" w:hAnsi="Times New Roman" w:cs="Times New Roman"/>
          <w:sz w:val="28"/>
          <w:szCs w:val="28"/>
        </w:rPr>
        <w:t>ate e delle spese n</w:t>
      </w:r>
      <w:r w:rsidRPr="006309F9">
        <w:rPr>
          <w:rFonts w:ascii="Times New Roman" w:hAnsi="Times New Roman" w:cs="Times New Roman"/>
          <w:sz w:val="28"/>
          <w:szCs w:val="28"/>
        </w:rPr>
        <w:t xml:space="preserve">el bilancio </w:t>
      </w:r>
      <w:r w:rsidR="00701A9F">
        <w:rPr>
          <w:rFonts w:ascii="Times New Roman" w:hAnsi="Times New Roman" w:cs="Times New Roman"/>
          <w:sz w:val="28"/>
          <w:szCs w:val="28"/>
        </w:rPr>
        <w:t xml:space="preserve">di previsione, pertanto, nonché le operazioni di gestione, oltre a </w:t>
      </w:r>
      <w:r w:rsidRPr="006309F9">
        <w:rPr>
          <w:rFonts w:ascii="Times New Roman" w:hAnsi="Times New Roman" w:cs="Times New Roman"/>
          <w:sz w:val="28"/>
          <w:szCs w:val="28"/>
        </w:rPr>
        <w:t>conformarsi al principio generale della contabilità finanziaria (</w:t>
      </w:r>
      <w:r w:rsidR="00701A9F">
        <w:rPr>
          <w:rFonts w:ascii="Times New Roman" w:hAnsi="Times New Roman" w:cs="Times New Roman"/>
          <w:sz w:val="28"/>
          <w:szCs w:val="28"/>
        </w:rPr>
        <w:t xml:space="preserve">Allegato n. 1 a d.lgs. n. 118/2011, punto </w:t>
      </w:r>
      <w:r w:rsidRPr="006309F9">
        <w:rPr>
          <w:rFonts w:ascii="Times New Roman" w:hAnsi="Times New Roman" w:cs="Times New Roman"/>
          <w:sz w:val="28"/>
          <w:szCs w:val="28"/>
        </w:rPr>
        <w:t>n. 16)</w:t>
      </w:r>
      <w:r w:rsidR="00701A9F">
        <w:rPr>
          <w:rStyle w:val="Rimandonotaapidipagina"/>
          <w:rFonts w:ascii="Times New Roman" w:hAnsi="Times New Roman" w:cs="Times New Roman"/>
          <w:sz w:val="28"/>
          <w:szCs w:val="28"/>
        </w:rPr>
        <w:footnoteReference w:id="73"/>
      </w:r>
      <w:r w:rsidR="00701A9F">
        <w:rPr>
          <w:rFonts w:ascii="Times New Roman" w:hAnsi="Times New Roman" w:cs="Times New Roman"/>
          <w:sz w:val="28"/>
          <w:szCs w:val="28"/>
        </w:rPr>
        <w:t xml:space="preserve">, devono, ai fini del mantenimento, anche futuro, degli equilibri di bilancio garantire la corretta determinazione dell’importo da accantonare a FCDE (pena la copertura di spese reali a mezzo di entrate solo virtuali). </w:t>
      </w:r>
    </w:p>
    <w:p w14:paraId="75F67AE1" w14:textId="4110D2C7" w:rsidR="00171FFB" w:rsidRPr="006309F9" w:rsidRDefault="00701A9F"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A tal fine, anche in sede di salvaguardia degli equilibri</w:t>
      </w:r>
      <w:r w:rsidR="00171FFB" w:rsidRPr="006309F9">
        <w:rPr>
          <w:rFonts w:ascii="Times New Roman" w:hAnsi="Times New Roman" w:cs="Times New Roman"/>
          <w:sz w:val="28"/>
          <w:szCs w:val="28"/>
        </w:rPr>
        <w:t xml:space="preserve"> </w:t>
      </w:r>
      <w:r>
        <w:rPr>
          <w:rFonts w:ascii="Times New Roman" w:hAnsi="Times New Roman" w:cs="Times New Roman"/>
          <w:sz w:val="28"/>
          <w:szCs w:val="28"/>
        </w:rPr>
        <w:t xml:space="preserve">(ex art. </w:t>
      </w:r>
      <w:r w:rsidR="00171FFB" w:rsidRPr="006309F9">
        <w:rPr>
          <w:rFonts w:ascii="Times New Roman" w:hAnsi="Times New Roman" w:cs="Times New Roman"/>
          <w:sz w:val="28"/>
          <w:szCs w:val="28"/>
        </w:rPr>
        <w:t xml:space="preserve">193 del </w:t>
      </w:r>
      <w:r>
        <w:rPr>
          <w:rFonts w:ascii="Times New Roman" w:hAnsi="Times New Roman" w:cs="Times New Roman"/>
          <w:sz w:val="28"/>
          <w:szCs w:val="28"/>
        </w:rPr>
        <w:t>d.lgs. n. 267/2000</w:t>
      </w:r>
      <w:r w:rsidR="00203CFA">
        <w:rPr>
          <w:rFonts w:ascii="Times New Roman" w:hAnsi="Times New Roman" w:cs="Times New Roman"/>
          <w:sz w:val="28"/>
          <w:szCs w:val="28"/>
        </w:rPr>
        <w:t xml:space="preserve"> ed art. 50 del d.lgs. n. 118/2011), gli enti territoriali devono prevedere misure adeguate a </w:t>
      </w:r>
      <w:r w:rsidR="00171FFB" w:rsidRPr="006309F9">
        <w:rPr>
          <w:rFonts w:ascii="Times New Roman" w:hAnsi="Times New Roman" w:cs="Times New Roman"/>
          <w:sz w:val="28"/>
          <w:szCs w:val="28"/>
        </w:rPr>
        <w:t xml:space="preserve">ripristinare il pareggio qualora i dati della gestione finanziaria </w:t>
      </w:r>
      <w:r w:rsidR="00203CFA">
        <w:rPr>
          <w:rFonts w:ascii="Times New Roman" w:hAnsi="Times New Roman" w:cs="Times New Roman"/>
          <w:sz w:val="28"/>
          <w:szCs w:val="28"/>
        </w:rPr>
        <w:t xml:space="preserve">(anche derivanti dall’approvazione del rendiconto dell’esercizio precedente) </w:t>
      </w:r>
      <w:r w:rsidR="00171FFB" w:rsidRPr="006309F9">
        <w:rPr>
          <w:rFonts w:ascii="Times New Roman" w:hAnsi="Times New Roman" w:cs="Times New Roman"/>
          <w:sz w:val="28"/>
          <w:szCs w:val="28"/>
        </w:rPr>
        <w:t xml:space="preserve">facciano prevedere un disavanzo </w:t>
      </w:r>
      <w:r w:rsidR="00203CFA">
        <w:rPr>
          <w:rFonts w:ascii="Times New Roman" w:hAnsi="Times New Roman" w:cs="Times New Roman"/>
          <w:sz w:val="28"/>
          <w:szCs w:val="28"/>
        </w:rPr>
        <w:t>ne</w:t>
      </w:r>
      <w:r w:rsidR="00171FFB" w:rsidRPr="006309F9">
        <w:rPr>
          <w:rFonts w:ascii="Times New Roman" w:hAnsi="Times New Roman" w:cs="Times New Roman"/>
          <w:sz w:val="28"/>
          <w:szCs w:val="28"/>
        </w:rPr>
        <w:t>lla gestione di competenza, di cassa ov</w:t>
      </w:r>
      <w:r w:rsidR="00203CFA">
        <w:rPr>
          <w:rFonts w:ascii="Times New Roman" w:hAnsi="Times New Roman" w:cs="Times New Roman"/>
          <w:sz w:val="28"/>
          <w:szCs w:val="28"/>
        </w:rPr>
        <w:t>vero dei residui. Queste ultime situazioni di squilibrio possono derivare, per esempio, oltre che dalla necessità di</w:t>
      </w:r>
      <w:r w:rsidR="00171FFB" w:rsidRPr="006309F9">
        <w:rPr>
          <w:rFonts w:ascii="Times New Roman" w:hAnsi="Times New Roman" w:cs="Times New Roman"/>
          <w:sz w:val="28"/>
          <w:szCs w:val="28"/>
        </w:rPr>
        <w:t xml:space="preserve"> </w:t>
      </w:r>
      <w:r w:rsidR="00203CFA">
        <w:rPr>
          <w:rFonts w:ascii="Times New Roman" w:hAnsi="Times New Roman" w:cs="Times New Roman"/>
          <w:sz w:val="28"/>
          <w:szCs w:val="28"/>
        </w:rPr>
        <w:t>finanziarie l’e</w:t>
      </w:r>
      <w:r w:rsidR="00171FFB" w:rsidRPr="006309F9">
        <w:rPr>
          <w:rFonts w:ascii="Times New Roman" w:hAnsi="Times New Roman" w:cs="Times New Roman"/>
          <w:sz w:val="28"/>
          <w:szCs w:val="28"/>
        </w:rPr>
        <w:t>ventual</w:t>
      </w:r>
      <w:r w:rsidR="00203CFA">
        <w:rPr>
          <w:rFonts w:ascii="Times New Roman" w:hAnsi="Times New Roman" w:cs="Times New Roman"/>
          <w:sz w:val="28"/>
          <w:szCs w:val="28"/>
        </w:rPr>
        <w:t>e</w:t>
      </w:r>
      <w:r w:rsidR="00171FFB" w:rsidRPr="006309F9">
        <w:rPr>
          <w:rFonts w:ascii="Times New Roman" w:hAnsi="Times New Roman" w:cs="Times New Roman"/>
          <w:sz w:val="28"/>
          <w:szCs w:val="28"/>
        </w:rPr>
        <w:t xml:space="preserve"> </w:t>
      </w:r>
      <w:r w:rsidR="00203CFA">
        <w:rPr>
          <w:rFonts w:ascii="Times New Roman" w:hAnsi="Times New Roman" w:cs="Times New Roman"/>
          <w:sz w:val="28"/>
          <w:szCs w:val="28"/>
        </w:rPr>
        <w:t xml:space="preserve">riconoscimento di </w:t>
      </w:r>
      <w:r w:rsidR="00171FFB" w:rsidRPr="006309F9">
        <w:rPr>
          <w:rFonts w:ascii="Times New Roman" w:hAnsi="Times New Roman" w:cs="Times New Roman"/>
          <w:sz w:val="28"/>
          <w:szCs w:val="28"/>
        </w:rPr>
        <w:t>debiti fuori bilancio</w:t>
      </w:r>
      <w:r w:rsidR="00203CFA">
        <w:rPr>
          <w:rStyle w:val="Rimandonotaapidipagina"/>
          <w:rFonts w:ascii="Times New Roman" w:hAnsi="Times New Roman" w:cs="Times New Roman"/>
          <w:sz w:val="28"/>
          <w:szCs w:val="28"/>
        </w:rPr>
        <w:footnoteReference w:id="74"/>
      </w:r>
      <w:r w:rsidR="00203CFA">
        <w:rPr>
          <w:rFonts w:ascii="Times New Roman" w:hAnsi="Times New Roman" w:cs="Times New Roman"/>
          <w:sz w:val="28"/>
          <w:szCs w:val="28"/>
        </w:rPr>
        <w:t xml:space="preserve">, dall’esigenza di </w:t>
      </w:r>
      <w:r w:rsidR="00171FFB" w:rsidRPr="006309F9">
        <w:rPr>
          <w:rFonts w:ascii="Times New Roman" w:hAnsi="Times New Roman" w:cs="Times New Roman"/>
          <w:sz w:val="28"/>
          <w:szCs w:val="28"/>
        </w:rPr>
        <w:t>adeguare il fondo crediti di dubbia esigibilità accantonato nel risultato di amministrazione</w:t>
      </w:r>
      <w:r w:rsidR="00203CFA">
        <w:rPr>
          <w:rFonts w:ascii="Times New Roman" w:hAnsi="Times New Roman" w:cs="Times New Roman"/>
          <w:sz w:val="28"/>
          <w:szCs w:val="28"/>
        </w:rPr>
        <w:t xml:space="preserve"> o da accantonare (</w:t>
      </w:r>
      <w:r w:rsidR="00203CFA" w:rsidRPr="008B51FD">
        <w:rPr>
          <w:rFonts w:ascii="Times New Roman" w:hAnsi="Times New Roman" w:cs="Times New Roman"/>
          <w:i/>
          <w:sz w:val="28"/>
          <w:szCs w:val="28"/>
        </w:rPr>
        <w:t>rectius</w:t>
      </w:r>
      <w:r w:rsidR="008B51FD">
        <w:rPr>
          <w:rFonts w:ascii="Times New Roman" w:hAnsi="Times New Roman" w:cs="Times New Roman"/>
          <w:sz w:val="28"/>
          <w:szCs w:val="28"/>
        </w:rPr>
        <w:t>, variare) nel bilancio di previsione</w:t>
      </w:r>
      <w:r w:rsidR="008B51FD">
        <w:rPr>
          <w:rStyle w:val="Rimandonotaapidipagina"/>
          <w:rFonts w:ascii="Times New Roman" w:hAnsi="Times New Roman" w:cs="Times New Roman"/>
          <w:sz w:val="28"/>
          <w:szCs w:val="28"/>
        </w:rPr>
        <w:footnoteReference w:id="75"/>
      </w:r>
      <w:r w:rsidR="00171FFB" w:rsidRPr="006309F9">
        <w:rPr>
          <w:rFonts w:ascii="Times New Roman" w:hAnsi="Times New Roman" w:cs="Times New Roman"/>
          <w:sz w:val="28"/>
          <w:szCs w:val="28"/>
        </w:rPr>
        <w:t xml:space="preserve">. </w:t>
      </w:r>
    </w:p>
    <w:p w14:paraId="4796E669" w14:textId="77777777" w:rsidR="00171FFB" w:rsidRPr="006309F9" w:rsidRDefault="00171FFB" w:rsidP="006309F9">
      <w:pPr>
        <w:pStyle w:val="Corpotesto"/>
        <w:spacing w:before="0" w:after="120"/>
        <w:jc w:val="both"/>
        <w:rPr>
          <w:rFonts w:ascii="Times New Roman" w:hAnsi="Times New Roman" w:cs="Times New Roman"/>
          <w:sz w:val="28"/>
          <w:szCs w:val="28"/>
        </w:rPr>
      </w:pPr>
    </w:p>
    <w:p w14:paraId="60D03912" w14:textId="149B74AC" w:rsidR="00110AFC" w:rsidRPr="006309F9" w:rsidRDefault="00FF4D84" w:rsidP="006309F9">
      <w:pPr>
        <w:pStyle w:val="Titolo3"/>
        <w:spacing w:before="0" w:after="120" w:line="240" w:lineRule="auto"/>
        <w:rPr>
          <w:szCs w:val="28"/>
        </w:rPr>
      </w:pPr>
      <w:bookmarkStart w:id="7" w:name="_Toc1148500"/>
      <w:r>
        <w:rPr>
          <w:szCs w:val="28"/>
        </w:rPr>
        <w:t>1</w:t>
      </w:r>
      <w:r w:rsidR="0028307E" w:rsidRPr="006309F9">
        <w:rPr>
          <w:szCs w:val="28"/>
        </w:rPr>
        <w:t>.</w:t>
      </w:r>
      <w:r w:rsidR="00110AFC" w:rsidRPr="006309F9">
        <w:rPr>
          <w:szCs w:val="28"/>
        </w:rPr>
        <w:t>2</w:t>
      </w:r>
      <w:r w:rsidR="00970E2C">
        <w:rPr>
          <w:szCs w:val="28"/>
        </w:rPr>
        <w:t>.3</w:t>
      </w:r>
      <w:r w:rsidR="00110AFC" w:rsidRPr="006309F9">
        <w:rPr>
          <w:szCs w:val="28"/>
        </w:rPr>
        <w:t xml:space="preserve"> Il rapporto </w:t>
      </w:r>
      <w:r w:rsidR="0028307E" w:rsidRPr="006309F9">
        <w:rPr>
          <w:szCs w:val="28"/>
        </w:rPr>
        <w:t>fra il fondo da anticipazioni</w:t>
      </w:r>
      <w:r w:rsidR="00110AFC" w:rsidRPr="006309F9">
        <w:rPr>
          <w:szCs w:val="28"/>
        </w:rPr>
        <w:t xml:space="preserve"> liquidità ed il fondo crediti di dubbia esigibilità</w:t>
      </w:r>
      <w:bookmarkEnd w:id="7"/>
    </w:p>
    <w:p w14:paraId="0EE98463" w14:textId="21C5CE92" w:rsidR="008B51FD" w:rsidRDefault="008B51FD"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L’art. 2, comma</w:t>
      </w:r>
      <w:r w:rsidR="00110AFC" w:rsidRPr="006309F9">
        <w:rPr>
          <w:rFonts w:ascii="Times New Roman" w:hAnsi="Times New Roman" w:cs="Times New Roman"/>
          <w:sz w:val="28"/>
          <w:szCs w:val="28"/>
        </w:rPr>
        <w:t xml:space="preserve"> 6, del d.l. n. 78</w:t>
      </w:r>
      <w:r>
        <w:rPr>
          <w:rFonts w:ascii="Times New Roman" w:hAnsi="Times New Roman" w:cs="Times New Roman"/>
          <w:sz w:val="28"/>
          <w:szCs w:val="28"/>
        </w:rPr>
        <w:t>/2015</w:t>
      </w:r>
      <w:r w:rsidR="00110AFC" w:rsidRPr="006309F9">
        <w:rPr>
          <w:rFonts w:ascii="Times New Roman" w:hAnsi="Times New Roman" w:cs="Times New Roman"/>
          <w:sz w:val="28"/>
          <w:szCs w:val="28"/>
        </w:rPr>
        <w:t>, convertito dalla legge n. 125</w:t>
      </w:r>
      <w:r>
        <w:rPr>
          <w:rFonts w:ascii="Times New Roman" w:hAnsi="Times New Roman" w:cs="Times New Roman"/>
          <w:sz w:val="28"/>
          <w:szCs w:val="28"/>
        </w:rPr>
        <w:t>/2015</w:t>
      </w:r>
      <w:r w:rsidR="00110AFC" w:rsidRPr="006309F9">
        <w:rPr>
          <w:rFonts w:ascii="Times New Roman" w:hAnsi="Times New Roman" w:cs="Times New Roman"/>
          <w:sz w:val="28"/>
          <w:szCs w:val="28"/>
        </w:rPr>
        <w:t xml:space="preserve">, </w:t>
      </w:r>
      <w:r w:rsidR="00391AB9">
        <w:rPr>
          <w:rFonts w:ascii="Times New Roman" w:hAnsi="Times New Roman" w:cs="Times New Roman"/>
          <w:sz w:val="28"/>
          <w:szCs w:val="28"/>
        </w:rPr>
        <w:t>dichiarato incostituzionale dalla recente sentenza della Consulta n. 4/2020, aveva</w:t>
      </w:r>
      <w:r w:rsidR="00110AFC" w:rsidRPr="006309F9">
        <w:rPr>
          <w:rFonts w:ascii="Times New Roman" w:hAnsi="Times New Roman" w:cs="Times New Roman"/>
          <w:sz w:val="28"/>
          <w:szCs w:val="28"/>
        </w:rPr>
        <w:t xml:space="preserve"> previsto che "</w:t>
      </w:r>
      <w:r w:rsidR="00110AFC" w:rsidRPr="006309F9">
        <w:rPr>
          <w:rFonts w:ascii="Times New Roman" w:hAnsi="Times New Roman" w:cs="Times New Roman"/>
          <w:i/>
          <w:sz w:val="28"/>
          <w:szCs w:val="28"/>
        </w:rPr>
        <w:t>gli enti destinatari delle anticipazioni di liquidità a valere sul fondo per assicurare la liquidità per pagamenti dei debiti certi, liquidi ed esigibili di cui all’articolo 1 del decreto-legge 8 aprile 2013, n. 35, convertito, con modificazioni, dalla legge 6 giugno 2013, n. 64, utilizzano la quota accantonata nel risultato di amministrazione a seguito dell’acquisizione delle erogazioni, ai fini dell’accantonamento al fondo crediti di dubbia esigibilità nel risultato di amministrazione</w:t>
      </w:r>
      <w:r w:rsidR="00110AFC" w:rsidRPr="006309F9">
        <w:rPr>
          <w:rFonts w:ascii="Times New Roman" w:hAnsi="Times New Roman" w:cs="Times New Roman"/>
          <w:sz w:val="28"/>
          <w:szCs w:val="28"/>
        </w:rPr>
        <w:t xml:space="preserve">". </w:t>
      </w:r>
    </w:p>
    <w:p w14:paraId="4C2EBBDC" w14:textId="338DBDBC" w:rsidR="00345832" w:rsidRDefault="00345832"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Per comprendere il contenuto e la </w:t>
      </w:r>
      <w:r w:rsidRPr="00345832">
        <w:rPr>
          <w:rFonts w:ascii="Times New Roman" w:hAnsi="Times New Roman" w:cs="Times New Roman"/>
          <w:i/>
          <w:sz w:val="28"/>
          <w:szCs w:val="28"/>
        </w:rPr>
        <w:t>ratio</w:t>
      </w:r>
      <w:r>
        <w:rPr>
          <w:rFonts w:ascii="Times New Roman" w:hAnsi="Times New Roman" w:cs="Times New Roman"/>
          <w:sz w:val="28"/>
          <w:szCs w:val="28"/>
        </w:rPr>
        <w:t xml:space="preserve"> della norma in parola, occorre richiamare, in primo luogo, alcune deliberazioni della Sezione delle Autonomie della Corte dei conti, che, per prima, si è posta il problema degli impropri effetti espansivi della capacità di spesa degli enti territoriali prodotti dalla riscossione di anticipazioni di liquidità (ai sensi del citato d.l. n. 35/2013, e </w:t>
      </w:r>
      <w:r w:rsidR="0003157A">
        <w:rPr>
          <w:rFonts w:ascii="Times New Roman" w:hAnsi="Times New Roman" w:cs="Times New Roman"/>
          <w:sz w:val="28"/>
          <w:szCs w:val="28"/>
        </w:rPr>
        <w:t xml:space="preserve">collegate </w:t>
      </w:r>
      <w:r>
        <w:rPr>
          <w:rFonts w:ascii="Times New Roman" w:hAnsi="Times New Roman" w:cs="Times New Roman"/>
          <w:sz w:val="28"/>
          <w:szCs w:val="28"/>
        </w:rPr>
        <w:t>norme successive) o di fondi di rotazione aventi il medesimo scopo (quale quello disciplinato dall’art. 243-</w:t>
      </w:r>
      <w:r w:rsidRPr="00345832">
        <w:rPr>
          <w:rFonts w:ascii="Times New Roman" w:hAnsi="Times New Roman" w:cs="Times New Roman"/>
          <w:i/>
          <w:sz w:val="28"/>
          <w:szCs w:val="28"/>
        </w:rPr>
        <w:t>ter</w:t>
      </w:r>
      <w:r>
        <w:rPr>
          <w:rFonts w:ascii="Times New Roman" w:hAnsi="Times New Roman" w:cs="Times New Roman"/>
          <w:sz w:val="28"/>
          <w:szCs w:val="28"/>
        </w:rPr>
        <w:t xml:space="preserve"> del d.lgs. n. 167/2000, funzionale all’impostazione di un piano di riequilibrio finanziario pluriennale)</w:t>
      </w:r>
      <w:r>
        <w:rPr>
          <w:rStyle w:val="Rimandonotaapidipagina"/>
          <w:rFonts w:ascii="Times New Roman" w:hAnsi="Times New Roman" w:cs="Times New Roman"/>
          <w:sz w:val="28"/>
          <w:szCs w:val="28"/>
        </w:rPr>
        <w:footnoteReference w:id="76"/>
      </w:r>
      <w:r>
        <w:rPr>
          <w:rFonts w:ascii="Times New Roman" w:hAnsi="Times New Roman" w:cs="Times New Roman"/>
          <w:sz w:val="28"/>
          <w:szCs w:val="28"/>
        </w:rPr>
        <w:t xml:space="preserve">.  </w:t>
      </w:r>
    </w:p>
    <w:p w14:paraId="1B72E34A" w14:textId="673FA2CC" w:rsidR="00345832" w:rsidRPr="006309F9" w:rsidRDefault="00345832" w:rsidP="00345832">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Nello specifico, l</w:t>
      </w:r>
      <w:r w:rsidRPr="006309F9">
        <w:rPr>
          <w:rFonts w:ascii="Times New Roman" w:hAnsi="Times New Roman" w:cs="Times New Roman"/>
          <w:sz w:val="28"/>
          <w:szCs w:val="28"/>
        </w:rPr>
        <w:t xml:space="preserve">’art. </w:t>
      </w:r>
      <w:r>
        <w:rPr>
          <w:rFonts w:ascii="Times New Roman" w:hAnsi="Times New Roman" w:cs="Times New Roman"/>
          <w:sz w:val="28"/>
          <w:szCs w:val="28"/>
        </w:rPr>
        <w:t>2, comma 6, del citato d.l. n. 78/2015</w:t>
      </w:r>
      <w:r w:rsidRPr="006309F9">
        <w:rPr>
          <w:rFonts w:ascii="Times New Roman" w:hAnsi="Times New Roman" w:cs="Times New Roman"/>
          <w:sz w:val="28"/>
          <w:szCs w:val="28"/>
        </w:rPr>
        <w:t xml:space="preserve"> ha disposto che gli </w:t>
      </w:r>
      <w:r>
        <w:rPr>
          <w:rFonts w:ascii="Times New Roman" w:hAnsi="Times New Roman" w:cs="Times New Roman"/>
          <w:sz w:val="28"/>
          <w:szCs w:val="28"/>
        </w:rPr>
        <w:t>e</w:t>
      </w:r>
      <w:r w:rsidR="0003157A">
        <w:rPr>
          <w:rFonts w:ascii="Times New Roman" w:hAnsi="Times New Roman" w:cs="Times New Roman"/>
          <w:sz w:val="28"/>
          <w:szCs w:val="28"/>
        </w:rPr>
        <w:t>nti destinatari di</w:t>
      </w:r>
      <w:r w:rsidRPr="006309F9">
        <w:rPr>
          <w:rFonts w:ascii="Times New Roman" w:hAnsi="Times New Roman" w:cs="Times New Roman"/>
          <w:sz w:val="28"/>
          <w:szCs w:val="28"/>
        </w:rPr>
        <w:t xml:space="preserve"> anticipazioni di liquidità</w:t>
      </w:r>
      <w:r w:rsidR="0003157A">
        <w:rPr>
          <w:rFonts w:ascii="Times New Roman" w:hAnsi="Times New Roman" w:cs="Times New Roman"/>
          <w:sz w:val="28"/>
          <w:szCs w:val="28"/>
        </w:rPr>
        <w:t>,</w:t>
      </w:r>
      <w:r w:rsidRPr="006309F9">
        <w:rPr>
          <w:rFonts w:ascii="Times New Roman" w:hAnsi="Times New Roman" w:cs="Times New Roman"/>
          <w:sz w:val="28"/>
          <w:szCs w:val="28"/>
        </w:rPr>
        <w:t xml:space="preserve"> </w:t>
      </w:r>
      <w:r>
        <w:rPr>
          <w:rFonts w:ascii="Times New Roman" w:hAnsi="Times New Roman" w:cs="Times New Roman"/>
          <w:sz w:val="28"/>
          <w:szCs w:val="28"/>
        </w:rPr>
        <w:t xml:space="preserve">destinate al </w:t>
      </w:r>
      <w:r w:rsidRPr="006309F9">
        <w:rPr>
          <w:rFonts w:ascii="Times New Roman" w:hAnsi="Times New Roman" w:cs="Times New Roman"/>
          <w:sz w:val="28"/>
          <w:szCs w:val="28"/>
        </w:rPr>
        <w:t>pagament</w:t>
      </w:r>
      <w:r>
        <w:rPr>
          <w:rFonts w:ascii="Times New Roman" w:hAnsi="Times New Roman" w:cs="Times New Roman"/>
          <w:sz w:val="28"/>
          <w:szCs w:val="28"/>
        </w:rPr>
        <w:t>o</w:t>
      </w:r>
      <w:r w:rsidR="0003157A">
        <w:rPr>
          <w:rFonts w:ascii="Times New Roman" w:hAnsi="Times New Roman" w:cs="Times New Roman"/>
          <w:sz w:val="28"/>
          <w:szCs w:val="28"/>
        </w:rPr>
        <w:t xml:space="preserve"> di debiti liquidi ed esigibili,</w:t>
      </w:r>
      <w:r w:rsidRPr="006309F9">
        <w:rPr>
          <w:rFonts w:ascii="Times New Roman" w:hAnsi="Times New Roman" w:cs="Times New Roman"/>
          <w:sz w:val="28"/>
          <w:szCs w:val="28"/>
        </w:rPr>
        <w:t xml:space="preserve"> </w:t>
      </w:r>
      <w:r>
        <w:rPr>
          <w:rFonts w:ascii="Times New Roman" w:hAnsi="Times New Roman" w:cs="Times New Roman"/>
          <w:sz w:val="28"/>
          <w:szCs w:val="28"/>
        </w:rPr>
        <w:t xml:space="preserve">possano </w:t>
      </w:r>
      <w:r w:rsidRPr="006309F9">
        <w:rPr>
          <w:rFonts w:ascii="Times New Roman" w:hAnsi="Times New Roman" w:cs="Times New Roman"/>
          <w:sz w:val="28"/>
          <w:szCs w:val="28"/>
        </w:rPr>
        <w:t>utilizz</w:t>
      </w:r>
      <w:r>
        <w:rPr>
          <w:rFonts w:ascii="Times New Roman" w:hAnsi="Times New Roman" w:cs="Times New Roman"/>
          <w:sz w:val="28"/>
          <w:szCs w:val="28"/>
        </w:rPr>
        <w:t>are</w:t>
      </w:r>
      <w:r w:rsidRPr="006309F9">
        <w:rPr>
          <w:rFonts w:ascii="Times New Roman" w:hAnsi="Times New Roman" w:cs="Times New Roman"/>
          <w:sz w:val="28"/>
          <w:szCs w:val="28"/>
        </w:rPr>
        <w:t xml:space="preserve"> “</w:t>
      </w:r>
      <w:r w:rsidRPr="00345832">
        <w:rPr>
          <w:rFonts w:ascii="Times New Roman" w:hAnsi="Times New Roman" w:cs="Times New Roman"/>
          <w:i/>
          <w:sz w:val="28"/>
          <w:szCs w:val="28"/>
        </w:rPr>
        <w:t>la quota accantonata nel risultato di amministrazione a seguito dell’acquisizione delle erogazioni, ai fini dell’accantonamento al fondo crediti di dubbia esigibilità nel risultato di amministrazione</w:t>
      </w:r>
      <w:r w:rsidRPr="006309F9">
        <w:rPr>
          <w:rFonts w:ascii="Times New Roman" w:hAnsi="Times New Roman" w:cs="Times New Roman"/>
          <w:sz w:val="28"/>
          <w:szCs w:val="28"/>
        </w:rPr>
        <w:t>”.</w:t>
      </w:r>
    </w:p>
    <w:p w14:paraId="21864EFF" w14:textId="2A698B63" w:rsidR="00345832" w:rsidRPr="006309F9" w:rsidRDefault="00345832" w:rsidP="00345832">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L</w:t>
      </w:r>
      <w:r w:rsidRPr="006309F9">
        <w:rPr>
          <w:rFonts w:ascii="Times New Roman" w:hAnsi="Times New Roman" w:cs="Times New Roman"/>
          <w:sz w:val="28"/>
          <w:szCs w:val="28"/>
        </w:rPr>
        <w:t>a norma presuppone</w:t>
      </w:r>
      <w:r w:rsidR="001A69A6">
        <w:rPr>
          <w:rFonts w:ascii="Times New Roman" w:hAnsi="Times New Roman" w:cs="Times New Roman"/>
          <w:sz w:val="28"/>
          <w:szCs w:val="28"/>
        </w:rPr>
        <w:t>, pertanto,</w:t>
      </w:r>
      <w:r w:rsidRPr="006309F9">
        <w:rPr>
          <w:rFonts w:ascii="Times New Roman" w:hAnsi="Times New Roman" w:cs="Times New Roman"/>
          <w:sz w:val="28"/>
          <w:szCs w:val="28"/>
        </w:rPr>
        <w:t xml:space="preserve"> l’esistenza di un accantonamento </w:t>
      </w:r>
      <w:r w:rsidR="001A69A6">
        <w:rPr>
          <w:rFonts w:ascii="Times New Roman" w:hAnsi="Times New Roman" w:cs="Times New Roman"/>
          <w:sz w:val="28"/>
          <w:szCs w:val="28"/>
        </w:rPr>
        <w:t xml:space="preserve">nel risultato di amministrazione finalizzato a </w:t>
      </w:r>
      <w:r w:rsidRPr="006309F9">
        <w:rPr>
          <w:rFonts w:ascii="Times New Roman" w:hAnsi="Times New Roman" w:cs="Times New Roman"/>
          <w:sz w:val="28"/>
          <w:szCs w:val="28"/>
        </w:rPr>
        <w:t xml:space="preserve">sterilizzare gli effetti </w:t>
      </w:r>
      <w:r w:rsidR="001A69A6">
        <w:rPr>
          <w:rFonts w:ascii="Times New Roman" w:hAnsi="Times New Roman" w:cs="Times New Roman"/>
          <w:sz w:val="28"/>
          <w:szCs w:val="28"/>
        </w:rPr>
        <w:t xml:space="preserve">(potenzialmente espansivi della capacità di spesa) prodotti dalla riscossione </w:t>
      </w:r>
      <w:r w:rsidRPr="006309F9">
        <w:rPr>
          <w:rFonts w:ascii="Times New Roman" w:hAnsi="Times New Roman" w:cs="Times New Roman"/>
          <w:sz w:val="28"/>
          <w:szCs w:val="28"/>
        </w:rPr>
        <w:t>delle anticipa</w:t>
      </w:r>
      <w:r w:rsidR="001A69A6">
        <w:rPr>
          <w:rFonts w:ascii="Times New Roman" w:hAnsi="Times New Roman" w:cs="Times New Roman"/>
          <w:sz w:val="28"/>
          <w:szCs w:val="28"/>
        </w:rPr>
        <w:t xml:space="preserve">zioni di liquidità (si rimanda, per un migliore apprezzamento del meccanismo contabile sottostante </w:t>
      </w:r>
      <w:r w:rsidR="009043F5">
        <w:rPr>
          <w:rFonts w:ascii="Times New Roman" w:hAnsi="Times New Roman" w:cs="Times New Roman"/>
          <w:sz w:val="28"/>
          <w:szCs w:val="28"/>
        </w:rPr>
        <w:t>alla costituzione del “</w:t>
      </w:r>
      <w:r w:rsidR="009043F5" w:rsidRPr="00E43B26">
        <w:rPr>
          <w:rFonts w:ascii="Times New Roman" w:hAnsi="Times New Roman" w:cs="Times New Roman"/>
          <w:i/>
          <w:iCs/>
          <w:sz w:val="28"/>
          <w:szCs w:val="28"/>
        </w:rPr>
        <w:t>fondo anticipazioni liquidità</w:t>
      </w:r>
      <w:r w:rsidR="009043F5">
        <w:rPr>
          <w:rFonts w:ascii="Times New Roman" w:hAnsi="Times New Roman" w:cs="Times New Roman"/>
          <w:sz w:val="28"/>
          <w:szCs w:val="28"/>
        </w:rPr>
        <w:t xml:space="preserve">”, o FAL, </w:t>
      </w:r>
      <w:r w:rsidR="00384957">
        <w:rPr>
          <w:rFonts w:ascii="Times New Roman" w:hAnsi="Times New Roman" w:cs="Times New Roman"/>
          <w:sz w:val="28"/>
          <w:szCs w:val="28"/>
        </w:rPr>
        <w:t>alle deliberazioni</w:t>
      </w:r>
      <w:r w:rsidR="001A69A6">
        <w:rPr>
          <w:rFonts w:ascii="Times New Roman" w:hAnsi="Times New Roman" w:cs="Times New Roman"/>
          <w:sz w:val="28"/>
          <w:szCs w:val="28"/>
        </w:rPr>
        <w:t xml:space="preserve"> della Sezione delle Autonomie</w:t>
      </w:r>
      <w:r w:rsidR="009D2947">
        <w:rPr>
          <w:rFonts w:ascii="Times New Roman" w:hAnsi="Times New Roman" w:cs="Times New Roman"/>
          <w:sz w:val="28"/>
          <w:szCs w:val="28"/>
        </w:rPr>
        <w:t xml:space="preserve"> </w:t>
      </w:r>
      <w:r w:rsidR="009D2947" w:rsidRPr="009D2947">
        <w:rPr>
          <w:rFonts w:ascii="Times New Roman" w:hAnsi="Times New Roman" w:cs="Times New Roman"/>
          <w:sz w:val="28"/>
          <w:szCs w:val="28"/>
        </w:rPr>
        <w:t>n. 19/2014/QMIG e n. 33/2015/QMIG</w:t>
      </w:r>
      <w:r w:rsidR="001A69A6" w:rsidRPr="009D2947">
        <w:rPr>
          <w:rStyle w:val="Rimandonotaapidipagina"/>
          <w:rFonts w:ascii="Times New Roman" w:hAnsi="Times New Roman" w:cs="Times New Roman"/>
          <w:sz w:val="28"/>
          <w:szCs w:val="28"/>
        </w:rPr>
        <w:footnoteReference w:id="77"/>
      </w:r>
      <w:r w:rsidR="001A69A6">
        <w:rPr>
          <w:rFonts w:ascii="Times New Roman" w:hAnsi="Times New Roman" w:cs="Times New Roman"/>
          <w:sz w:val="28"/>
          <w:szCs w:val="28"/>
        </w:rPr>
        <w:t>)</w:t>
      </w:r>
      <w:r w:rsidR="009043F5">
        <w:rPr>
          <w:rFonts w:ascii="Times New Roman" w:hAnsi="Times New Roman" w:cs="Times New Roman"/>
          <w:sz w:val="28"/>
          <w:szCs w:val="28"/>
        </w:rPr>
        <w:t xml:space="preserve">. </w:t>
      </w:r>
      <w:r w:rsidR="000E3603">
        <w:rPr>
          <w:rFonts w:ascii="Times New Roman" w:hAnsi="Times New Roman" w:cs="Times New Roman"/>
          <w:sz w:val="28"/>
          <w:szCs w:val="28"/>
        </w:rPr>
        <w:t xml:space="preserve">Ove ricorra tale ipotesi, </w:t>
      </w:r>
      <w:r w:rsidR="009043F5">
        <w:rPr>
          <w:rFonts w:ascii="Times New Roman" w:hAnsi="Times New Roman" w:cs="Times New Roman"/>
          <w:sz w:val="28"/>
          <w:szCs w:val="28"/>
        </w:rPr>
        <w:t xml:space="preserve">la </w:t>
      </w:r>
      <w:r w:rsidR="000E3603">
        <w:rPr>
          <w:rFonts w:ascii="Times New Roman" w:hAnsi="Times New Roman" w:cs="Times New Roman"/>
          <w:sz w:val="28"/>
          <w:szCs w:val="28"/>
        </w:rPr>
        <w:t>medesima</w:t>
      </w:r>
      <w:r w:rsidR="009043F5">
        <w:rPr>
          <w:rFonts w:ascii="Times New Roman" w:hAnsi="Times New Roman" w:cs="Times New Roman"/>
          <w:sz w:val="28"/>
          <w:szCs w:val="28"/>
        </w:rPr>
        <w:t xml:space="preserve"> norma consente </w:t>
      </w:r>
      <w:r w:rsidRPr="006309F9">
        <w:rPr>
          <w:rFonts w:ascii="Times New Roman" w:hAnsi="Times New Roman" w:cs="Times New Roman"/>
          <w:sz w:val="28"/>
          <w:szCs w:val="28"/>
        </w:rPr>
        <w:t xml:space="preserve">che il </w:t>
      </w:r>
      <w:r w:rsidR="009D2947">
        <w:rPr>
          <w:rFonts w:ascii="Times New Roman" w:hAnsi="Times New Roman" w:cs="Times New Roman"/>
          <w:sz w:val="28"/>
          <w:szCs w:val="28"/>
        </w:rPr>
        <w:t>FCDE</w:t>
      </w:r>
      <w:r w:rsidR="009043F5">
        <w:rPr>
          <w:rFonts w:ascii="Times New Roman" w:hAnsi="Times New Roman" w:cs="Times New Roman"/>
          <w:sz w:val="28"/>
          <w:szCs w:val="28"/>
        </w:rPr>
        <w:t xml:space="preserve"> nel risultato d’amministrazione </w:t>
      </w:r>
      <w:r w:rsidRPr="006309F9">
        <w:rPr>
          <w:rFonts w:ascii="Times New Roman" w:hAnsi="Times New Roman" w:cs="Times New Roman"/>
          <w:sz w:val="28"/>
          <w:szCs w:val="28"/>
        </w:rPr>
        <w:t>possa essere alimentato</w:t>
      </w:r>
      <w:r w:rsidR="009043F5">
        <w:rPr>
          <w:rFonts w:ascii="Times New Roman" w:hAnsi="Times New Roman" w:cs="Times New Roman"/>
          <w:sz w:val="28"/>
          <w:szCs w:val="28"/>
        </w:rPr>
        <w:t xml:space="preserve"> anche con la quota accantonata a titolo di FAL. </w:t>
      </w:r>
    </w:p>
    <w:p w14:paraId="3FE19826" w14:textId="74155BCC" w:rsidR="00345832" w:rsidRPr="006309F9" w:rsidRDefault="00345832" w:rsidP="00345832">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La Corte dei conti, con deliberazione n. 19/SEZAUT/2014/QMIG, ha ritenuto</w:t>
      </w:r>
      <w:r w:rsidR="009043F5">
        <w:rPr>
          <w:rFonts w:ascii="Times New Roman" w:hAnsi="Times New Roman" w:cs="Times New Roman"/>
          <w:sz w:val="28"/>
          <w:szCs w:val="28"/>
        </w:rPr>
        <w:t>, infatti,</w:t>
      </w:r>
      <w:r w:rsidRPr="006309F9">
        <w:rPr>
          <w:rFonts w:ascii="Times New Roman" w:hAnsi="Times New Roman" w:cs="Times New Roman"/>
          <w:sz w:val="28"/>
          <w:szCs w:val="28"/>
        </w:rPr>
        <w:t xml:space="preserve"> che le anticipazioni di liquidità concesse ai sensi </w:t>
      </w:r>
      <w:r w:rsidR="009043F5">
        <w:rPr>
          <w:rFonts w:ascii="Times New Roman" w:hAnsi="Times New Roman" w:cs="Times New Roman"/>
          <w:sz w:val="28"/>
          <w:szCs w:val="28"/>
        </w:rPr>
        <w:t xml:space="preserve">del </w:t>
      </w:r>
      <w:r w:rsidRPr="006309F9">
        <w:rPr>
          <w:rFonts w:ascii="Times New Roman" w:hAnsi="Times New Roman" w:cs="Times New Roman"/>
          <w:sz w:val="28"/>
          <w:szCs w:val="28"/>
        </w:rPr>
        <w:t>d.l. n. 35/2013 “</w:t>
      </w:r>
      <w:r w:rsidRPr="009043F5">
        <w:rPr>
          <w:rFonts w:ascii="Times New Roman" w:hAnsi="Times New Roman" w:cs="Times New Roman"/>
          <w:i/>
          <w:sz w:val="28"/>
          <w:szCs w:val="28"/>
        </w:rPr>
        <w:t>hanno sostanzialmente, e non solo formalmente, la natura di anticipazione; diversamente, risulterebbe violato l’art. 119, comma 6, Cost., secondo cui le Regioni e gli enti locali possono ricorrere all’indebitamento solo per finanziare spese di investimento</w:t>
      </w:r>
      <w:r w:rsidRPr="006309F9">
        <w:rPr>
          <w:rFonts w:ascii="Times New Roman" w:hAnsi="Times New Roman" w:cs="Times New Roman"/>
          <w:sz w:val="28"/>
          <w:szCs w:val="28"/>
        </w:rPr>
        <w:t>”</w:t>
      </w:r>
      <w:r w:rsidR="009043F5">
        <w:rPr>
          <w:rFonts w:ascii="Times New Roman" w:hAnsi="Times New Roman" w:cs="Times New Roman"/>
          <w:sz w:val="28"/>
          <w:szCs w:val="28"/>
        </w:rPr>
        <w:t xml:space="preserve"> (in termini, in seguito, le sentenze della Corte Costituzionale n. 181/2015 e n. 89/2017)</w:t>
      </w:r>
      <w:r w:rsidRPr="006309F9">
        <w:rPr>
          <w:rFonts w:ascii="Times New Roman" w:hAnsi="Times New Roman" w:cs="Times New Roman"/>
          <w:sz w:val="28"/>
          <w:szCs w:val="28"/>
        </w:rPr>
        <w:t>.</w:t>
      </w:r>
    </w:p>
    <w:p w14:paraId="39FD5C05" w14:textId="3E343FFE" w:rsidR="009043F5" w:rsidRPr="006309F9" w:rsidRDefault="0003157A" w:rsidP="009043F5">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C</w:t>
      </w:r>
      <w:r w:rsidR="009043F5">
        <w:rPr>
          <w:rFonts w:ascii="Times New Roman" w:hAnsi="Times New Roman" w:cs="Times New Roman"/>
          <w:sz w:val="28"/>
          <w:szCs w:val="28"/>
        </w:rPr>
        <w:t xml:space="preserve">on la </w:t>
      </w:r>
      <w:r>
        <w:rPr>
          <w:rFonts w:ascii="Times New Roman" w:hAnsi="Times New Roman" w:cs="Times New Roman"/>
          <w:sz w:val="28"/>
          <w:szCs w:val="28"/>
        </w:rPr>
        <w:t xml:space="preserve">successiva </w:t>
      </w:r>
      <w:r w:rsidR="009043F5">
        <w:rPr>
          <w:rFonts w:ascii="Times New Roman" w:hAnsi="Times New Roman" w:cs="Times New Roman"/>
          <w:sz w:val="28"/>
          <w:szCs w:val="28"/>
        </w:rPr>
        <w:t>deliberazione n. 33/2015/QMIG, la Sezione delle Autonomie ha ribadito che, n</w:t>
      </w:r>
      <w:r w:rsidR="009043F5" w:rsidRPr="006309F9">
        <w:rPr>
          <w:rFonts w:ascii="Times New Roman" w:hAnsi="Times New Roman" w:cs="Times New Roman"/>
          <w:sz w:val="28"/>
          <w:szCs w:val="28"/>
        </w:rPr>
        <w:t>ei bilanci degli enti soggetti alle regole dell’armonizzazione contabile, l</w:t>
      </w:r>
      <w:r w:rsidR="006976F8">
        <w:rPr>
          <w:rFonts w:ascii="Times New Roman" w:hAnsi="Times New Roman" w:cs="Times New Roman"/>
          <w:sz w:val="28"/>
          <w:szCs w:val="28"/>
        </w:rPr>
        <w:t xml:space="preserve">a sterilizzazione degli effetti, impropriamente positivi, </w:t>
      </w:r>
      <w:r w:rsidR="009043F5" w:rsidRPr="006309F9">
        <w:rPr>
          <w:rFonts w:ascii="Times New Roman" w:hAnsi="Times New Roman" w:cs="Times New Roman"/>
          <w:sz w:val="28"/>
          <w:szCs w:val="28"/>
        </w:rPr>
        <w:t>che le anticipazioni di liquidità</w:t>
      </w:r>
      <w:r w:rsidR="00636450">
        <w:rPr>
          <w:rStyle w:val="Rimandonotaapidipagina"/>
          <w:rFonts w:ascii="Times New Roman" w:hAnsi="Times New Roman" w:cs="Times New Roman"/>
          <w:sz w:val="28"/>
          <w:szCs w:val="28"/>
        </w:rPr>
        <w:footnoteReference w:id="78"/>
      </w:r>
      <w:r w:rsidR="009043F5">
        <w:rPr>
          <w:rFonts w:ascii="Times New Roman" w:hAnsi="Times New Roman" w:cs="Times New Roman"/>
          <w:sz w:val="28"/>
          <w:szCs w:val="28"/>
        </w:rPr>
        <w:t xml:space="preserve"> </w:t>
      </w:r>
      <w:r w:rsidR="009043F5" w:rsidRPr="006309F9">
        <w:rPr>
          <w:rFonts w:ascii="Times New Roman" w:hAnsi="Times New Roman" w:cs="Times New Roman"/>
          <w:sz w:val="28"/>
          <w:szCs w:val="28"/>
        </w:rPr>
        <w:t>produ</w:t>
      </w:r>
      <w:r w:rsidR="006976F8">
        <w:rPr>
          <w:rFonts w:ascii="Times New Roman" w:hAnsi="Times New Roman" w:cs="Times New Roman"/>
          <w:sz w:val="28"/>
          <w:szCs w:val="28"/>
        </w:rPr>
        <w:t>rrebbero s</w:t>
      </w:r>
      <w:r w:rsidR="009043F5" w:rsidRPr="006309F9">
        <w:rPr>
          <w:rFonts w:ascii="Times New Roman" w:hAnsi="Times New Roman" w:cs="Times New Roman"/>
          <w:sz w:val="28"/>
          <w:szCs w:val="28"/>
        </w:rPr>
        <w:t>ul risultato di amministrazione</w:t>
      </w:r>
      <w:r w:rsidR="006976F8">
        <w:rPr>
          <w:rFonts w:ascii="Times New Roman" w:hAnsi="Times New Roman" w:cs="Times New Roman"/>
          <w:sz w:val="28"/>
          <w:szCs w:val="28"/>
        </w:rPr>
        <w:t>,</w:t>
      </w:r>
      <w:r w:rsidR="009043F5" w:rsidRPr="006309F9">
        <w:rPr>
          <w:rFonts w:ascii="Times New Roman" w:hAnsi="Times New Roman" w:cs="Times New Roman"/>
          <w:sz w:val="28"/>
          <w:szCs w:val="28"/>
        </w:rPr>
        <w:t xml:space="preserve"> va effettuata stanziando</w:t>
      </w:r>
      <w:r w:rsidR="00636450">
        <w:rPr>
          <w:rFonts w:ascii="Times New Roman" w:hAnsi="Times New Roman" w:cs="Times New Roman"/>
          <w:sz w:val="28"/>
          <w:szCs w:val="28"/>
        </w:rPr>
        <w:t>, nel t</w:t>
      </w:r>
      <w:r w:rsidR="009043F5" w:rsidRPr="006309F9">
        <w:rPr>
          <w:rFonts w:ascii="Times New Roman" w:hAnsi="Times New Roman" w:cs="Times New Roman"/>
          <w:sz w:val="28"/>
          <w:szCs w:val="28"/>
        </w:rPr>
        <w:t>itolo della spesa riguardante il rimborso dei prestiti</w:t>
      </w:r>
      <w:r w:rsidR="00636450">
        <w:rPr>
          <w:rFonts w:ascii="Times New Roman" w:hAnsi="Times New Roman" w:cs="Times New Roman"/>
          <w:sz w:val="28"/>
          <w:szCs w:val="28"/>
        </w:rPr>
        <w:t>, un fondo</w:t>
      </w:r>
      <w:r w:rsidR="009043F5" w:rsidRPr="006309F9">
        <w:rPr>
          <w:rFonts w:ascii="Times New Roman" w:hAnsi="Times New Roman" w:cs="Times New Roman"/>
          <w:sz w:val="28"/>
          <w:szCs w:val="28"/>
        </w:rPr>
        <w:t xml:space="preserve">, di importo pari alle anticipazioni incassate, </w:t>
      </w:r>
      <w:r w:rsidR="00636450">
        <w:rPr>
          <w:rFonts w:ascii="Times New Roman" w:hAnsi="Times New Roman" w:cs="Times New Roman"/>
          <w:sz w:val="28"/>
          <w:szCs w:val="28"/>
        </w:rPr>
        <w:t xml:space="preserve">che, a fine esercizio, non potendo essere impegnato (come tutti i fondi), </w:t>
      </w:r>
      <w:r w:rsidR="009043F5" w:rsidRPr="006309F9">
        <w:rPr>
          <w:rFonts w:ascii="Times New Roman" w:hAnsi="Times New Roman" w:cs="Times New Roman"/>
          <w:sz w:val="28"/>
          <w:szCs w:val="28"/>
        </w:rPr>
        <w:t>confluisce nel risultato di amministrazione come quota accantonata</w:t>
      </w:r>
      <w:r w:rsidR="00636450">
        <w:rPr>
          <w:rFonts w:ascii="Times New Roman" w:hAnsi="Times New Roman" w:cs="Times New Roman"/>
          <w:sz w:val="28"/>
          <w:szCs w:val="28"/>
        </w:rPr>
        <w:t xml:space="preserve"> (ex art. 187 d.lgs. n. 267/2000 e art. 42 d.lgs. n. 118/2011)</w:t>
      </w:r>
      <w:r w:rsidR="009043F5" w:rsidRPr="006309F9">
        <w:rPr>
          <w:rFonts w:ascii="Times New Roman" w:hAnsi="Times New Roman" w:cs="Times New Roman"/>
          <w:sz w:val="28"/>
          <w:szCs w:val="28"/>
        </w:rPr>
        <w:t xml:space="preserve">. </w:t>
      </w:r>
      <w:r w:rsidR="00636450">
        <w:rPr>
          <w:rFonts w:ascii="Times New Roman" w:hAnsi="Times New Roman" w:cs="Times New Roman"/>
          <w:sz w:val="28"/>
          <w:szCs w:val="28"/>
        </w:rPr>
        <w:t xml:space="preserve">Il </w:t>
      </w:r>
      <w:proofErr w:type="gramStart"/>
      <w:r w:rsidR="00636450">
        <w:rPr>
          <w:rFonts w:ascii="Times New Roman" w:hAnsi="Times New Roman" w:cs="Times New Roman"/>
          <w:sz w:val="28"/>
          <w:szCs w:val="28"/>
        </w:rPr>
        <w:t>predetto</w:t>
      </w:r>
      <w:proofErr w:type="gramEnd"/>
      <w:r w:rsidR="00636450">
        <w:rPr>
          <w:rFonts w:ascii="Times New Roman" w:hAnsi="Times New Roman" w:cs="Times New Roman"/>
          <w:sz w:val="28"/>
          <w:szCs w:val="28"/>
        </w:rPr>
        <w:t xml:space="preserve"> fondo </w:t>
      </w:r>
      <w:r w:rsidR="009043F5" w:rsidRPr="006309F9">
        <w:rPr>
          <w:rFonts w:ascii="Times New Roman" w:hAnsi="Times New Roman" w:cs="Times New Roman"/>
          <w:sz w:val="28"/>
          <w:szCs w:val="28"/>
        </w:rPr>
        <w:t xml:space="preserve">va </w:t>
      </w:r>
      <w:r w:rsidR="006976F8">
        <w:rPr>
          <w:rFonts w:ascii="Times New Roman" w:hAnsi="Times New Roman" w:cs="Times New Roman"/>
          <w:sz w:val="28"/>
          <w:szCs w:val="28"/>
        </w:rPr>
        <w:t xml:space="preserve">poi </w:t>
      </w:r>
      <w:r w:rsidR="009043F5" w:rsidRPr="006309F9">
        <w:rPr>
          <w:rFonts w:ascii="Times New Roman" w:hAnsi="Times New Roman" w:cs="Times New Roman"/>
          <w:sz w:val="28"/>
          <w:szCs w:val="28"/>
        </w:rPr>
        <w:t xml:space="preserve">ridotto, annualmente, in proporzione alla quota capitale rimborsata </w:t>
      </w:r>
      <w:r w:rsidR="00636450">
        <w:rPr>
          <w:rFonts w:ascii="Times New Roman" w:hAnsi="Times New Roman" w:cs="Times New Roman"/>
          <w:sz w:val="28"/>
          <w:szCs w:val="28"/>
        </w:rPr>
        <w:t>in ogni esercizio</w:t>
      </w:r>
      <w:r w:rsidR="009043F5" w:rsidRPr="006309F9">
        <w:rPr>
          <w:rFonts w:ascii="Times New Roman" w:hAnsi="Times New Roman" w:cs="Times New Roman"/>
          <w:sz w:val="28"/>
          <w:szCs w:val="28"/>
        </w:rPr>
        <w:t>.</w:t>
      </w:r>
    </w:p>
    <w:p w14:paraId="0B788718" w14:textId="7D7485B4" w:rsidR="006976F8" w:rsidRDefault="00636450" w:rsidP="009043F5">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Nella medesima deliberazione n. 33/2015/QMIG, la Sezione delle Autonomie ha affermato che l</w:t>
      </w:r>
      <w:r w:rsidR="009043F5" w:rsidRPr="006309F9">
        <w:rPr>
          <w:rFonts w:ascii="Times New Roman" w:hAnsi="Times New Roman" w:cs="Times New Roman"/>
          <w:sz w:val="28"/>
          <w:szCs w:val="28"/>
        </w:rPr>
        <w:t xml:space="preserve">’utilizzo del fondo </w:t>
      </w:r>
      <w:r>
        <w:rPr>
          <w:rFonts w:ascii="Times New Roman" w:hAnsi="Times New Roman" w:cs="Times New Roman"/>
          <w:sz w:val="28"/>
          <w:szCs w:val="28"/>
        </w:rPr>
        <w:t>anticipazioni l</w:t>
      </w:r>
      <w:r w:rsidR="006976F8">
        <w:rPr>
          <w:rFonts w:ascii="Times New Roman" w:hAnsi="Times New Roman" w:cs="Times New Roman"/>
          <w:sz w:val="28"/>
          <w:szCs w:val="28"/>
        </w:rPr>
        <w:t>iquidità (FAL), finalizzato all’esposta</w:t>
      </w:r>
      <w:r>
        <w:rPr>
          <w:rFonts w:ascii="Times New Roman" w:hAnsi="Times New Roman" w:cs="Times New Roman"/>
          <w:sz w:val="28"/>
          <w:szCs w:val="28"/>
        </w:rPr>
        <w:t xml:space="preserve"> </w:t>
      </w:r>
      <w:r w:rsidR="009043F5" w:rsidRPr="006309F9">
        <w:rPr>
          <w:rFonts w:ascii="Times New Roman" w:hAnsi="Times New Roman" w:cs="Times New Roman"/>
          <w:sz w:val="28"/>
          <w:szCs w:val="28"/>
        </w:rPr>
        <w:t xml:space="preserve">sterilizzazione </w:t>
      </w:r>
      <w:r w:rsidR="006976F8">
        <w:rPr>
          <w:rFonts w:ascii="Times New Roman" w:hAnsi="Times New Roman" w:cs="Times New Roman"/>
          <w:sz w:val="28"/>
          <w:szCs w:val="28"/>
        </w:rPr>
        <w:t>dell’improprio incremento della capacità di spesa</w:t>
      </w:r>
      <w:r>
        <w:rPr>
          <w:rFonts w:ascii="Times New Roman" w:hAnsi="Times New Roman" w:cs="Times New Roman"/>
          <w:sz w:val="28"/>
          <w:szCs w:val="28"/>
        </w:rPr>
        <w:t xml:space="preserve">, </w:t>
      </w:r>
      <w:r w:rsidR="006976F8">
        <w:rPr>
          <w:rFonts w:ascii="Times New Roman" w:hAnsi="Times New Roman" w:cs="Times New Roman"/>
          <w:sz w:val="28"/>
          <w:szCs w:val="28"/>
        </w:rPr>
        <w:t>se utilizzato ai fini della dimostrazione della congruità dell’accantonamento al</w:t>
      </w:r>
      <w:r w:rsidR="009043F5" w:rsidRPr="006309F9">
        <w:rPr>
          <w:rFonts w:ascii="Times New Roman" w:hAnsi="Times New Roman" w:cs="Times New Roman"/>
          <w:sz w:val="28"/>
          <w:szCs w:val="28"/>
        </w:rPr>
        <w:t xml:space="preserve"> fondo crediti di dubbia esigibilità</w:t>
      </w:r>
      <w:r w:rsidR="006976F8">
        <w:rPr>
          <w:rFonts w:ascii="Times New Roman" w:hAnsi="Times New Roman" w:cs="Times New Roman"/>
          <w:sz w:val="28"/>
          <w:szCs w:val="28"/>
        </w:rPr>
        <w:t xml:space="preserve"> nel risultato d’amministrazione</w:t>
      </w:r>
      <w:r>
        <w:rPr>
          <w:rFonts w:ascii="Times New Roman" w:hAnsi="Times New Roman" w:cs="Times New Roman"/>
          <w:sz w:val="28"/>
          <w:szCs w:val="28"/>
        </w:rPr>
        <w:t>,</w:t>
      </w:r>
      <w:r w:rsidR="009043F5" w:rsidRPr="006309F9">
        <w:rPr>
          <w:rFonts w:ascii="Times New Roman" w:hAnsi="Times New Roman" w:cs="Times New Roman"/>
          <w:sz w:val="28"/>
          <w:szCs w:val="28"/>
        </w:rPr>
        <w:t xml:space="preserve"> </w:t>
      </w:r>
      <w:r w:rsidR="006976F8">
        <w:rPr>
          <w:rFonts w:ascii="Times New Roman" w:hAnsi="Times New Roman" w:cs="Times New Roman"/>
          <w:sz w:val="28"/>
          <w:szCs w:val="28"/>
        </w:rPr>
        <w:t xml:space="preserve">facoltà prevista dal citato </w:t>
      </w:r>
      <w:r w:rsidR="009043F5" w:rsidRPr="006309F9">
        <w:rPr>
          <w:rFonts w:ascii="Times New Roman" w:hAnsi="Times New Roman" w:cs="Times New Roman"/>
          <w:sz w:val="28"/>
          <w:szCs w:val="28"/>
        </w:rPr>
        <w:t xml:space="preserve">art. 2, comma 6, </w:t>
      </w:r>
      <w:r>
        <w:rPr>
          <w:rFonts w:ascii="Times New Roman" w:hAnsi="Times New Roman" w:cs="Times New Roman"/>
          <w:sz w:val="28"/>
          <w:szCs w:val="28"/>
        </w:rPr>
        <w:t xml:space="preserve">del </w:t>
      </w:r>
      <w:r w:rsidR="009043F5" w:rsidRPr="006309F9">
        <w:rPr>
          <w:rFonts w:ascii="Times New Roman" w:hAnsi="Times New Roman" w:cs="Times New Roman"/>
          <w:sz w:val="28"/>
          <w:szCs w:val="28"/>
        </w:rPr>
        <w:t>d.l. n. 78</w:t>
      </w:r>
      <w:r>
        <w:rPr>
          <w:rFonts w:ascii="Times New Roman" w:hAnsi="Times New Roman" w:cs="Times New Roman"/>
          <w:sz w:val="28"/>
          <w:szCs w:val="28"/>
        </w:rPr>
        <w:t>/2015</w:t>
      </w:r>
      <w:r w:rsidR="009043F5" w:rsidRPr="006309F9">
        <w:rPr>
          <w:rFonts w:ascii="Times New Roman" w:hAnsi="Times New Roman" w:cs="Times New Roman"/>
          <w:sz w:val="28"/>
          <w:szCs w:val="28"/>
        </w:rPr>
        <w:t xml:space="preserve">, </w:t>
      </w:r>
      <w:r>
        <w:rPr>
          <w:rFonts w:ascii="Times New Roman" w:hAnsi="Times New Roman" w:cs="Times New Roman"/>
          <w:sz w:val="28"/>
          <w:szCs w:val="28"/>
        </w:rPr>
        <w:t>“</w:t>
      </w:r>
      <w:r w:rsidR="009043F5" w:rsidRPr="00B863ED">
        <w:rPr>
          <w:rFonts w:ascii="Times New Roman" w:hAnsi="Times New Roman" w:cs="Times New Roman"/>
          <w:i/>
          <w:sz w:val="28"/>
          <w:szCs w:val="28"/>
        </w:rPr>
        <w:t>non deve produrre effetti espansivi d</w:t>
      </w:r>
      <w:r w:rsidRPr="00B863ED">
        <w:rPr>
          <w:rFonts w:ascii="Times New Roman" w:hAnsi="Times New Roman" w:cs="Times New Roman"/>
          <w:i/>
          <w:sz w:val="28"/>
          <w:szCs w:val="28"/>
        </w:rPr>
        <w:t>ella capacità di spesa</w:t>
      </w:r>
      <w:r>
        <w:rPr>
          <w:rFonts w:ascii="Times New Roman" w:hAnsi="Times New Roman" w:cs="Times New Roman"/>
          <w:sz w:val="28"/>
          <w:szCs w:val="28"/>
        </w:rPr>
        <w:t>”</w:t>
      </w:r>
      <w:r w:rsidR="009043F5" w:rsidRPr="006309F9">
        <w:rPr>
          <w:rFonts w:ascii="Times New Roman" w:hAnsi="Times New Roman" w:cs="Times New Roman"/>
          <w:sz w:val="28"/>
          <w:szCs w:val="28"/>
        </w:rPr>
        <w:t>.</w:t>
      </w:r>
      <w:r>
        <w:rPr>
          <w:rFonts w:ascii="Times New Roman" w:hAnsi="Times New Roman" w:cs="Times New Roman"/>
          <w:sz w:val="28"/>
          <w:szCs w:val="28"/>
        </w:rPr>
        <w:t xml:space="preserve"> </w:t>
      </w:r>
    </w:p>
    <w:p w14:paraId="2A6129D4" w14:textId="7533FEBA" w:rsidR="009043F5" w:rsidRPr="006309F9" w:rsidRDefault="006976F8" w:rsidP="009043F5">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Invero</w:t>
      </w:r>
      <w:r w:rsidR="00636450">
        <w:rPr>
          <w:rFonts w:ascii="Times New Roman" w:hAnsi="Times New Roman" w:cs="Times New Roman"/>
          <w:sz w:val="28"/>
          <w:szCs w:val="28"/>
        </w:rPr>
        <w:t xml:space="preserve">, come </w:t>
      </w:r>
      <w:r>
        <w:rPr>
          <w:rFonts w:ascii="Times New Roman" w:hAnsi="Times New Roman" w:cs="Times New Roman"/>
          <w:sz w:val="28"/>
          <w:szCs w:val="28"/>
        </w:rPr>
        <w:t xml:space="preserve">ha avuto modo di </w:t>
      </w:r>
      <w:r w:rsidR="00174B17">
        <w:rPr>
          <w:rFonts w:ascii="Times New Roman" w:hAnsi="Times New Roman" w:cs="Times New Roman"/>
          <w:sz w:val="28"/>
          <w:szCs w:val="28"/>
        </w:rPr>
        <w:t>apprezzare</w:t>
      </w:r>
      <w:r w:rsidR="00636450">
        <w:rPr>
          <w:rFonts w:ascii="Times New Roman" w:hAnsi="Times New Roman" w:cs="Times New Roman"/>
          <w:sz w:val="28"/>
          <w:szCs w:val="28"/>
        </w:rPr>
        <w:t xml:space="preserve"> </w:t>
      </w:r>
      <w:r>
        <w:rPr>
          <w:rFonts w:ascii="Times New Roman" w:hAnsi="Times New Roman" w:cs="Times New Roman"/>
          <w:sz w:val="28"/>
          <w:szCs w:val="28"/>
        </w:rPr>
        <w:t>l</w:t>
      </w:r>
      <w:r w:rsidR="00636450">
        <w:rPr>
          <w:rFonts w:ascii="Times New Roman" w:hAnsi="Times New Roman" w:cs="Times New Roman"/>
          <w:sz w:val="28"/>
          <w:szCs w:val="28"/>
        </w:rPr>
        <w:t xml:space="preserve">’evoluzione giurisprudenziale successiva, la </w:t>
      </w:r>
      <w:r>
        <w:rPr>
          <w:rFonts w:ascii="Times New Roman" w:hAnsi="Times New Roman" w:cs="Times New Roman"/>
          <w:sz w:val="28"/>
          <w:szCs w:val="28"/>
        </w:rPr>
        <w:t xml:space="preserve">possibilità </w:t>
      </w:r>
      <w:r w:rsidR="00636450">
        <w:rPr>
          <w:rFonts w:ascii="Times New Roman" w:hAnsi="Times New Roman" w:cs="Times New Roman"/>
          <w:sz w:val="28"/>
          <w:szCs w:val="28"/>
        </w:rPr>
        <w:t xml:space="preserve">consentita </w:t>
      </w:r>
      <w:r w:rsidR="00174B17">
        <w:rPr>
          <w:rFonts w:ascii="Times New Roman" w:hAnsi="Times New Roman" w:cs="Times New Roman"/>
          <w:sz w:val="28"/>
          <w:szCs w:val="28"/>
        </w:rPr>
        <w:t>dalla norma in parola (</w:t>
      </w:r>
      <w:r>
        <w:rPr>
          <w:rFonts w:ascii="Times New Roman" w:hAnsi="Times New Roman" w:cs="Times New Roman"/>
          <w:sz w:val="28"/>
          <w:szCs w:val="28"/>
        </w:rPr>
        <w:t>conteggiare</w:t>
      </w:r>
      <w:r w:rsidR="00174B17">
        <w:rPr>
          <w:rFonts w:ascii="Times New Roman" w:hAnsi="Times New Roman" w:cs="Times New Roman"/>
          <w:sz w:val="28"/>
          <w:szCs w:val="28"/>
        </w:rPr>
        <w:t xml:space="preserve">, ai fini della dimostrazione della congruità del FCDE nel risultato d’amministrazione, l’importo della quota accantonata a FAL) determina, algebricamente, un effetto espansivo della capacità di spesa dell’ente </w:t>
      </w:r>
      <w:r>
        <w:rPr>
          <w:rFonts w:ascii="Times New Roman" w:hAnsi="Times New Roman" w:cs="Times New Roman"/>
          <w:sz w:val="28"/>
          <w:szCs w:val="28"/>
        </w:rPr>
        <w:t>territoriale</w:t>
      </w:r>
      <w:r w:rsidR="00174B17">
        <w:rPr>
          <w:rFonts w:ascii="Times New Roman" w:hAnsi="Times New Roman" w:cs="Times New Roman"/>
          <w:sz w:val="28"/>
          <w:szCs w:val="28"/>
        </w:rPr>
        <w:t xml:space="preserve"> (posto che il risultato d’amministrazione, invece di essere “gravato” </w:t>
      </w:r>
      <w:r>
        <w:rPr>
          <w:rFonts w:ascii="Times New Roman" w:hAnsi="Times New Roman" w:cs="Times New Roman"/>
          <w:sz w:val="28"/>
          <w:szCs w:val="28"/>
        </w:rPr>
        <w:t>dalle quote accantonate</w:t>
      </w:r>
      <w:r w:rsidR="00174B17">
        <w:rPr>
          <w:rFonts w:ascii="Times New Roman" w:hAnsi="Times New Roman" w:cs="Times New Roman"/>
          <w:sz w:val="28"/>
          <w:szCs w:val="28"/>
        </w:rPr>
        <w:t xml:space="preserve"> </w:t>
      </w:r>
      <w:r>
        <w:rPr>
          <w:rFonts w:ascii="Times New Roman" w:hAnsi="Times New Roman" w:cs="Times New Roman"/>
          <w:sz w:val="28"/>
          <w:szCs w:val="28"/>
        </w:rPr>
        <w:t xml:space="preserve">sia </w:t>
      </w:r>
      <w:r w:rsidR="00174B17">
        <w:rPr>
          <w:rFonts w:ascii="Times New Roman" w:hAnsi="Times New Roman" w:cs="Times New Roman"/>
          <w:sz w:val="28"/>
          <w:szCs w:val="28"/>
        </w:rPr>
        <w:t>a titolo di FCDE che di FAL, vedrà, in caso di concorrenza di entrambi, una quota accantonata complessiva di importo non superiore a quella da effettuare a titolo di FCDE</w:t>
      </w:r>
      <w:r w:rsidR="00174B17">
        <w:rPr>
          <w:rStyle w:val="Rimandonotaapidipagina"/>
          <w:rFonts w:ascii="Times New Roman" w:hAnsi="Times New Roman" w:cs="Times New Roman"/>
          <w:sz w:val="28"/>
          <w:szCs w:val="28"/>
        </w:rPr>
        <w:footnoteReference w:id="79"/>
      </w:r>
      <w:r w:rsidR="00174B17">
        <w:rPr>
          <w:rFonts w:ascii="Times New Roman" w:hAnsi="Times New Roman" w:cs="Times New Roman"/>
          <w:sz w:val="28"/>
          <w:szCs w:val="28"/>
        </w:rPr>
        <w:t>)</w:t>
      </w:r>
      <w:r w:rsidR="00B863ED">
        <w:rPr>
          <w:rFonts w:ascii="Times New Roman" w:hAnsi="Times New Roman" w:cs="Times New Roman"/>
          <w:sz w:val="28"/>
          <w:szCs w:val="28"/>
        </w:rPr>
        <w:t>.</w:t>
      </w:r>
    </w:p>
    <w:p w14:paraId="543482FB" w14:textId="77777777" w:rsidR="00384957" w:rsidRDefault="00174B17"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La ridetta</w:t>
      </w:r>
      <w:r w:rsidR="00110AFC" w:rsidRPr="006309F9">
        <w:rPr>
          <w:rFonts w:ascii="Times New Roman" w:hAnsi="Times New Roman" w:cs="Times New Roman"/>
          <w:sz w:val="28"/>
          <w:szCs w:val="28"/>
        </w:rPr>
        <w:t xml:space="preserve"> disposizione</w:t>
      </w:r>
      <w:r>
        <w:rPr>
          <w:rFonts w:ascii="Times New Roman" w:hAnsi="Times New Roman" w:cs="Times New Roman"/>
          <w:sz w:val="28"/>
          <w:szCs w:val="28"/>
        </w:rPr>
        <w:t>, pertanto, proprio per il suo contenuto non ritenuto pienamente conforme alla clausola gener</w:t>
      </w:r>
      <w:r w:rsidR="006976F8">
        <w:rPr>
          <w:rFonts w:ascii="Times New Roman" w:hAnsi="Times New Roman" w:cs="Times New Roman"/>
          <w:sz w:val="28"/>
          <w:szCs w:val="28"/>
        </w:rPr>
        <w:t>ale degli equilibri di bilancio</w:t>
      </w:r>
      <w:r>
        <w:rPr>
          <w:rFonts w:ascii="Times New Roman" w:hAnsi="Times New Roman" w:cs="Times New Roman"/>
          <w:sz w:val="28"/>
          <w:szCs w:val="28"/>
        </w:rPr>
        <w:t xml:space="preserve"> dettata dalla Carta </w:t>
      </w:r>
      <w:r w:rsidR="006976F8">
        <w:rPr>
          <w:rFonts w:ascii="Times New Roman" w:hAnsi="Times New Roman" w:cs="Times New Roman"/>
          <w:sz w:val="28"/>
          <w:szCs w:val="28"/>
        </w:rPr>
        <w:t>c</w:t>
      </w:r>
      <w:r>
        <w:rPr>
          <w:rFonts w:ascii="Times New Roman" w:hAnsi="Times New Roman" w:cs="Times New Roman"/>
          <w:sz w:val="28"/>
          <w:szCs w:val="28"/>
        </w:rPr>
        <w:t xml:space="preserve">ostituzionale (cfr. artt. </w:t>
      </w:r>
      <w:r w:rsidR="00B863ED">
        <w:rPr>
          <w:rFonts w:ascii="Times New Roman" w:hAnsi="Times New Roman" w:cs="Times New Roman"/>
          <w:sz w:val="28"/>
          <w:szCs w:val="28"/>
        </w:rPr>
        <w:t>81, 97 e 119),</w:t>
      </w:r>
      <w:r>
        <w:rPr>
          <w:rFonts w:ascii="Times New Roman" w:hAnsi="Times New Roman" w:cs="Times New Roman"/>
          <w:sz w:val="28"/>
          <w:szCs w:val="28"/>
        </w:rPr>
        <w:t xml:space="preserve"> </w:t>
      </w:r>
      <w:r w:rsidR="00110AFC" w:rsidRPr="006309F9">
        <w:rPr>
          <w:rFonts w:ascii="Times New Roman" w:hAnsi="Times New Roman" w:cs="Times New Roman"/>
          <w:sz w:val="28"/>
          <w:szCs w:val="28"/>
        </w:rPr>
        <w:t xml:space="preserve"> è stata </w:t>
      </w:r>
      <w:r w:rsidR="006976F8">
        <w:rPr>
          <w:rFonts w:ascii="Times New Roman" w:hAnsi="Times New Roman" w:cs="Times New Roman"/>
          <w:sz w:val="28"/>
          <w:szCs w:val="28"/>
        </w:rPr>
        <w:t xml:space="preserve">spesso </w:t>
      </w:r>
      <w:r w:rsidR="00110AFC" w:rsidRPr="006309F9">
        <w:rPr>
          <w:rFonts w:ascii="Times New Roman" w:hAnsi="Times New Roman" w:cs="Times New Roman"/>
          <w:sz w:val="28"/>
          <w:szCs w:val="28"/>
        </w:rPr>
        <w:t>oggetto di attenzione, da parte delle sezioni regionali di controllo</w:t>
      </w:r>
      <w:r w:rsidR="006976F8">
        <w:rPr>
          <w:rFonts w:ascii="Times New Roman" w:hAnsi="Times New Roman" w:cs="Times New Roman"/>
          <w:sz w:val="28"/>
          <w:szCs w:val="28"/>
        </w:rPr>
        <w:t xml:space="preserve"> della Corte dei conti</w:t>
      </w:r>
      <w:r w:rsidR="00110AFC" w:rsidRPr="006309F9">
        <w:rPr>
          <w:rFonts w:ascii="Times New Roman" w:hAnsi="Times New Roman" w:cs="Times New Roman"/>
          <w:sz w:val="28"/>
          <w:szCs w:val="28"/>
        </w:rPr>
        <w:t xml:space="preserve"> </w:t>
      </w:r>
      <w:r w:rsidR="006976F8">
        <w:rPr>
          <w:rFonts w:ascii="Times New Roman" w:hAnsi="Times New Roman" w:cs="Times New Roman"/>
          <w:sz w:val="28"/>
          <w:szCs w:val="28"/>
        </w:rPr>
        <w:t>(</w:t>
      </w:r>
      <w:r w:rsidR="00110AFC" w:rsidRPr="006309F9">
        <w:rPr>
          <w:rFonts w:ascii="Times New Roman" w:hAnsi="Times New Roman" w:cs="Times New Roman"/>
          <w:sz w:val="28"/>
          <w:szCs w:val="28"/>
        </w:rPr>
        <w:t xml:space="preserve">in </w:t>
      </w:r>
      <w:r w:rsidR="006976F8">
        <w:rPr>
          <w:rFonts w:ascii="Times New Roman" w:hAnsi="Times New Roman" w:cs="Times New Roman"/>
          <w:sz w:val="28"/>
          <w:szCs w:val="28"/>
        </w:rPr>
        <w:t xml:space="preserve">particolare, in </w:t>
      </w:r>
      <w:r w:rsidR="00110AFC" w:rsidRPr="006309F9">
        <w:rPr>
          <w:rFonts w:ascii="Times New Roman" w:hAnsi="Times New Roman" w:cs="Times New Roman"/>
          <w:sz w:val="28"/>
          <w:szCs w:val="28"/>
        </w:rPr>
        <w:t>sede di valutazione del conseguimento degli obiettivi intermedi posti da</w:t>
      </w:r>
      <w:r w:rsidR="005E5C75">
        <w:rPr>
          <w:rFonts w:ascii="Times New Roman" w:hAnsi="Times New Roman" w:cs="Times New Roman"/>
          <w:sz w:val="28"/>
          <w:szCs w:val="28"/>
        </w:rPr>
        <w:t>i</w:t>
      </w:r>
      <w:r w:rsidR="00110AFC" w:rsidRPr="006309F9">
        <w:rPr>
          <w:rFonts w:ascii="Times New Roman" w:hAnsi="Times New Roman" w:cs="Times New Roman"/>
          <w:sz w:val="28"/>
          <w:szCs w:val="28"/>
        </w:rPr>
        <w:t xml:space="preserve"> </w:t>
      </w:r>
      <w:r w:rsidR="005E5C75">
        <w:rPr>
          <w:rFonts w:ascii="Times New Roman" w:hAnsi="Times New Roman" w:cs="Times New Roman"/>
          <w:sz w:val="28"/>
          <w:szCs w:val="28"/>
        </w:rPr>
        <w:t>piani</w:t>
      </w:r>
      <w:r w:rsidR="00110AFC" w:rsidRPr="006309F9">
        <w:rPr>
          <w:rFonts w:ascii="Times New Roman" w:hAnsi="Times New Roman" w:cs="Times New Roman"/>
          <w:sz w:val="28"/>
          <w:szCs w:val="28"/>
        </w:rPr>
        <w:t xml:space="preserve"> di riequilibrio finanziario pluriennale</w:t>
      </w:r>
      <w:r w:rsidR="00B863ED">
        <w:rPr>
          <w:rFonts w:ascii="Times New Roman" w:hAnsi="Times New Roman" w:cs="Times New Roman"/>
          <w:sz w:val="28"/>
          <w:szCs w:val="28"/>
        </w:rPr>
        <w:t>,</w:t>
      </w:r>
      <w:r w:rsidR="00110AFC" w:rsidRPr="006309F9">
        <w:rPr>
          <w:rFonts w:ascii="Times New Roman" w:hAnsi="Times New Roman" w:cs="Times New Roman"/>
          <w:sz w:val="28"/>
          <w:szCs w:val="28"/>
        </w:rPr>
        <w:t xml:space="preserve"> ex art. 243-</w:t>
      </w:r>
      <w:r w:rsidR="00110AFC" w:rsidRPr="00B863ED">
        <w:rPr>
          <w:rFonts w:ascii="Times New Roman" w:hAnsi="Times New Roman" w:cs="Times New Roman"/>
          <w:i/>
          <w:sz w:val="28"/>
          <w:szCs w:val="28"/>
        </w:rPr>
        <w:t>bis</w:t>
      </w:r>
      <w:r w:rsidR="00110AFC" w:rsidRPr="006309F9">
        <w:rPr>
          <w:rFonts w:ascii="Times New Roman" w:hAnsi="Times New Roman" w:cs="Times New Roman"/>
          <w:sz w:val="28"/>
          <w:szCs w:val="28"/>
        </w:rPr>
        <w:t xml:space="preserve"> TUEL</w:t>
      </w:r>
      <w:r w:rsidR="00110AFC" w:rsidRPr="006309F9">
        <w:rPr>
          <w:rStyle w:val="Rimandonotaapidipagina"/>
          <w:rFonts w:ascii="Times New Roman" w:hAnsi="Times New Roman" w:cs="Times New Roman"/>
          <w:sz w:val="28"/>
          <w:szCs w:val="28"/>
        </w:rPr>
        <w:footnoteReference w:id="80"/>
      </w:r>
      <w:r w:rsidR="00B863ED">
        <w:rPr>
          <w:rFonts w:ascii="Times New Roman" w:hAnsi="Times New Roman" w:cs="Times New Roman"/>
          <w:sz w:val="28"/>
          <w:szCs w:val="28"/>
        </w:rPr>
        <w:t>,</w:t>
      </w:r>
      <w:r w:rsidR="00110AFC" w:rsidRPr="006309F9">
        <w:rPr>
          <w:rFonts w:ascii="Times New Roman" w:hAnsi="Times New Roman" w:cs="Times New Roman"/>
          <w:sz w:val="28"/>
          <w:szCs w:val="28"/>
        </w:rPr>
        <w:t xml:space="preserve"> e di eventuale rimodulazion</w:t>
      </w:r>
      <w:r w:rsidR="006976F8">
        <w:rPr>
          <w:rFonts w:ascii="Times New Roman" w:hAnsi="Times New Roman" w:cs="Times New Roman"/>
          <w:sz w:val="28"/>
          <w:szCs w:val="28"/>
        </w:rPr>
        <w:t>e di quest’ultimo</w:t>
      </w:r>
      <w:r w:rsidR="006976F8">
        <w:rPr>
          <w:rStyle w:val="Rimandonotaapidipagina"/>
          <w:rFonts w:ascii="Times New Roman" w:hAnsi="Times New Roman" w:cs="Times New Roman"/>
          <w:sz w:val="28"/>
          <w:szCs w:val="28"/>
        </w:rPr>
        <w:footnoteReference w:id="81"/>
      </w:r>
      <w:r w:rsidR="006976F8">
        <w:rPr>
          <w:rFonts w:ascii="Times New Roman" w:hAnsi="Times New Roman" w:cs="Times New Roman"/>
          <w:sz w:val="28"/>
          <w:szCs w:val="28"/>
        </w:rPr>
        <w:t>)</w:t>
      </w:r>
      <w:r w:rsidR="00110AFC" w:rsidRPr="006309F9">
        <w:rPr>
          <w:rFonts w:ascii="Times New Roman" w:hAnsi="Times New Roman" w:cs="Times New Roman"/>
          <w:sz w:val="28"/>
          <w:szCs w:val="28"/>
        </w:rPr>
        <w:t xml:space="preserve">. </w:t>
      </w:r>
    </w:p>
    <w:p w14:paraId="00C35A1E" w14:textId="61C4CAE8" w:rsidR="00B863ED" w:rsidRDefault="006976F8"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Inoltre, s</w:t>
      </w:r>
      <w:r w:rsidR="00110AFC" w:rsidRPr="006309F9">
        <w:rPr>
          <w:rFonts w:ascii="Times New Roman" w:hAnsi="Times New Roman" w:cs="Times New Roman"/>
          <w:sz w:val="28"/>
          <w:szCs w:val="28"/>
        </w:rPr>
        <w:t xml:space="preserve">ulla facoltà normativa in esame si sono pronunciate le Sezioni </w:t>
      </w:r>
      <w:r>
        <w:rPr>
          <w:rFonts w:ascii="Times New Roman" w:hAnsi="Times New Roman" w:cs="Times New Roman"/>
          <w:sz w:val="28"/>
          <w:szCs w:val="28"/>
        </w:rPr>
        <w:t>r</w:t>
      </w:r>
      <w:r w:rsidR="00110AFC" w:rsidRPr="006309F9">
        <w:rPr>
          <w:rFonts w:ascii="Times New Roman" w:hAnsi="Times New Roman" w:cs="Times New Roman"/>
          <w:sz w:val="28"/>
          <w:szCs w:val="28"/>
        </w:rPr>
        <w:t>iunite in speciale composizione che, nella sentenza n. 26/2016/EL</w:t>
      </w:r>
      <w:r w:rsidR="00110AFC" w:rsidRPr="006309F9">
        <w:rPr>
          <w:rStyle w:val="Rimandonotaapidipagina"/>
          <w:rFonts w:ascii="Times New Roman" w:hAnsi="Times New Roman" w:cs="Times New Roman"/>
          <w:sz w:val="28"/>
          <w:szCs w:val="28"/>
        </w:rPr>
        <w:footnoteReference w:id="82"/>
      </w:r>
      <w:r w:rsidR="00110AFC" w:rsidRPr="006309F9">
        <w:rPr>
          <w:rFonts w:ascii="Times New Roman" w:hAnsi="Times New Roman" w:cs="Times New Roman"/>
          <w:sz w:val="28"/>
          <w:szCs w:val="28"/>
        </w:rPr>
        <w:t>, hanno precisato che, a differenza del FCDE, che mira a “sterilizzare” i residui di difficile o dubbia esazione, il “fondo da anticipazione di liquidità”</w:t>
      </w:r>
      <w:r w:rsidR="005E5C75">
        <w:rPr>
          <w:rFonts w:ascii="Times New Roman" w:hAnsi="Times New Roman" w:cs="Times New Roman"/>
          <w:sz w:val="28"/>
          <w:szCs w:val="28"/>
        </w:rPr>
        <w:t xml:space="preserve"> (FAL)</w:t>
      </w:r>
      <w:r w:rsidR="00110AFC" w:rsidRPr="006309F9">
        <w:rPr>
          <w:rStyle w:val="Rimandonotaapidipagina"/>
          <w:rFonts w:ascii="Times New Roman" w:hAnsi="Times New Roman" w:cs="Times New Roman"/>
          <w:sz w:val="28"/>
          <w:szCs w:val="28"/>
        </w:rPr>
        <w:footnoteReference w:id="83"/>
      </w:r>
      <w:r w:rsidR="005E5C75">
        <w:rPr>
          <w:rFonts w:ascii="Times New Roman" w:hAnsi="Times New Roman" w:cs="Times New Roman"/>
          <w:sz w:val="28"/>
          <w:szCs w:val="28"/>
        </w:rPr>
        <w:t>,</w:t>
      </w:r>
      <w:r w:rsidR="00110AFC" w:rsidRPr="006309F9">
        <w:rPr>
          <w:rFonts w:ascii="Times New Roman" w:hAnsi="Times New Roman" w:cs="Times New Roman"/>
          <w:sz w:val="28"/>
          <w:szCs w:val="28"/>
        </w:rPr>
        <w:t xml:space="preserve"> ha il divers</w:t>
      </w:r>
      <w:r>
        <w:rPr>
          <w:rFonts w:ascii="Times New Roman" w:hAnsi="Times New Roman" w:cs="Times New Roman"/>
          <w:sz w:val="28"/>
          <w:szCs w:val="28"/>
        </w:rPr>
        <w:t xml:space="preserve">o scopo di neutralizzare la fittizia </w:t>
      </w:r>
      <w:r w:rsidR="00110AFC" w:rsidRPr="006309F9">
        <w:rPr>
          <w:rFonts w:ascii="Times New Roman" w:hAnsi="Times New Roman" w:cs="Times New Roman"/>
          <w:sz w:val="28"/>
          <w:szCs w:val="28"/>
        </w:rPr>
        <w:t xml:space="preserve">incidenza </w:t>
      </w:r>
      <w:r>
        <w:rPr>
          <w:rFonts w:ascii="Times New Roman" w:hAnsi="Times New Roman" w:cs="Times New Roman"/>
          <w:sz w:val="28"/>
          <w:szCs w:val="28"/>
        </w:rPr>
        <w:t xml:space="preserve">positiva </w:t>
      </w:r>
      <w:r w:rsidR="00110AFC" w:rsidRPr="006309F9">
        <w:rPr>
          <w:rFonts w:ascii="Times New Roman" w:hAnsi="Times New Roman" w:cs="Times New Roman"/>
          <w:sz w:val="28"/>
          <w:szCs w:val="28"/>
        </w:rPr>
        <w:t xml:space="preserve">sul risultato di amministrazione di una erogazione finanziaria </w:t>
      </w:r>
      <w:r>
        <w:rPr>
          <w:rFonts w:ascii="Times New Roman" w:hAnsi="Times New Roman" w:cs="Times New Roman"/>
          <w:sz w:val="28"/>
          <w:szCs w:val="28"/>
        </w:rPr>
        <w:t xml:space="preserve">che dovrebbe </w:t>
      </w:r>
      <w:r w:rsidR="00110AFC" w:rsidRPr="006309F9">
        <w:rPr>
          <w:rFonts w:ascii="Times New Roman" w:hAnsi="Times New Roman" w:cs="Times New Roman"/>
          <w:sz w:val="28"/>
          <w:szCs w:val="28"/>
        </w:rPr>
        <w:t xml:space="preserve">incidere solo </w:t>
      </w:r>
      <w:r w:rsidR="00B863ED">
        <w:rPr>
          <w:rFonts w:ascii="Times New Roman" w:hAnsi="Times New Roman" w:cs="Times New Roman"/>
          <w:sz w:val="28"/>
          <w:szCs w:val="28"/>
        </w:rPr>
        <w:t>sulla liquidità</w:t>
      </w:r>
      <w:r>
        <w:rPr>
          <w:rFonts w:ascii="Times New Roman" w:hAnsi="Times New Roman" w:cs="Times New Roman"/>
          <w:sz w:val="28"/>
          <w:szCs w:val="28"/>
        </w:rPr>
        <w:t xml:space="preserve"> dell’ente ricevente</w:t>
      </w:r>
      <w:r w:rsidR="00110AFC" w:rsidRPr="006309F9">
        <w:rPr>
          <w:rFonts w:ascii="Times New Roman" w:hAnsi="Times New Roman" w:cs="Times New Roman"/>
          <w:sz w:val="28"/>
          <w:szCs w:val="28"/>
        </w:rPr>
        <w:t xml:space="preserve">. Di conseguenza, se il FCDE </w:t>
      </w:r>
      <w:r w:rsidR="005E5C75">
        <w:rPr>
          <w:rFonts w:ascii="Times New Roman" w:hAnsi="Times New Roman" w:cs="Times New Roman"/>
          <w:sz w:val="28"/>
          <w:szCs w:val="28"/>
        </w:rPr>
        <w:t xml:space="preserve">da accantonare nel rendiconto </w:t>
      </w:r>
      <w:r w:rsidR="00110AFC" w:rsidRPr="006309F9">
        <w:rPr>
          <w:rFonts w:ascii="Times New Roman" w:hAnsi="Times New Roman" w:cs="Times New Roman"/>
          <w:sz w:val="28"/>
          <w:szCs w:val="28"/>
        </w:rPr>
        <w:t>si riduce (o si azze</w:t>
      </w:r>
      <w:r w:rsidR="00B863ED">
        <w:rPr>
          <w:rFonts w:ascii="Times New Roman" w:hAnsi="Times New Roman" w:cs="Times New Roman"/>
          <w:sz w:val="28"/>
          <w:szCs w:val="28"/>
        </w:rPr>
        <w:t>ra) quando</w:t>
      </w:r>
      <w:r w:rsidR="00110AFC" w:rsidRPr="006309F9">
        <w:rPr>
          <w:rFonts w:ascii="Times New Roman" w:hAnsi="Times New Roman" w:cs="Times New Roman"/>
          <w:sz w:val="28"/>
          <w:szCs w:val="28"/>
        </w:rPr>
        <w:t xml:space="preserve"> vengono riscossi o cance</w:t>
      </w:r>
      <w:r>
        <w:rPr>
          <w:rFonts w:ascii="Times New Roman" w:hAnsi="Times New Roman" w:cs="Times New Roman"/>
          <w:sz w:val="28"/>
          <w:szCs w:val="28"/>
        </w:rPr>
        <w:t>llati</w:t>
      </w:r>
      <w:r w:rsidR="00110AFC" w:rsidRPr="006309F9">
        <w:rPr>
          <w:rFonts w:ascii="Times New Roman" w:hAnsi="Times New Roman" w:cs="Times New Roman"/>
          <w:sz w:val="28"/>
          <w:szCs w:val="28"/>
        </w:rPr>
        <w:t xml:space="preserve"> residui attivi, il FAL, invece, diminuisce annualmente</w:t>
      </w:r>
      <w:r w:rsidR="00B863ED">
        <w:rPr>
          <w:rFonts w:ascii="Times New Roman" w:hAnsi="Times New Roman" w:cs="Times New Roman"/>
          <w:sz w:val="28"/>
          <w:szCs w:val="28"/>
        </w:rPr>
        <w:t xml:space="preserve">, come </w:t>
      </w:r>
      <w:r w:rsidR="007165D1">
        <w:rPr>
          <w:rFonts w:ascii="Times New Roman" w:hAnsi="Times New Roman" w:cs="Times New Roman"/>
          <w:sz w:val="28"/>
          <w:szCs w:val="28"/>
        </w:rPr>
        <w:t>e</w:t>
      </w:r>
      <w:r w:rsidR="00B863ED">
        <w:rPr>
          <w:rFonts w:ascii="Times New Roman" w:hAnsi="Times New Roman" w:cs="Times New Roman"/>
          <w:sz w:val="28"/>
          <w:szCs w:val="28"/>
        </w:rPr>
        <w:t>sposto,</w:t>
      </w:r>
      <w:r w:rsidR="00110AFC" w:rsidRPr="006309F9">
        <w:rPr>
          <w:rFonts w:ascii="Times New Roman" w:hAnsi="Times New Roman" w:cs="Times New Roman"/>
          <w:sz w:val="28"/>
          <w:szCs w:val="28"/>
        </w:rPr>
        <w:t xml:space="preserve"> in ragione della quota rimborsata del</w:t>
      </w:r>
      <w:r w:rsidR="005834B3">
        <w:rPr>
          <w:rFonts w:ascii="Times New Roman" w:hAnsi="Times New Roman" w:cs="Times New Roman"/>
          <w:sz w:val="28"/>
          <w:szCs w:val="28"/>
        </w:rPr>
        <w:t>l’anticipazione ricevuta</w:t>
      </w:r>
      <w:r w:rsidR="00110AFC" w:rsidRPr="006309F9">
        <w:rPr>
          <w:rFonts w:ascii="Times New Roman" w:hAnsi="Times New Roman" w:cs="Times New Roman"/>
          <w:sz w:val="28"/>
          <w:szCs w:val="28"/>
        </w:rPr>
        <w:t xml:space="preserve">. </w:t>
      </w:r>
    </w:p>
    <w:p w14:paraId="62D0C01B" w14:textId="41B9C335" w:rsidR="005E5C75" w:rsidRDefault="00110AFC" w:rsidP="006309F9">
      <w:pPr>
        <w:pStyle w:val="Corpotesto"/>
        <w:spacing w:before="0" w:after="120"/>
        <w:jc w:val="both"/>
        <w:rPr>
          <w:rFonts w:ascii="Times New Roman" w:hAnsi="Times New Roman" w:cs="Times New Roman"/>
          <w:sz w:val="28"/>
          <w:szCs w:val="28"/>
        </w:rPr>
      </w:pPr>
      <w:r w:rsidRPr="00384957">
        <w:rPr>
          <w:rFonts w:ascii="Times New Roman" w:hAnsi="Times New Roman" w:cs="Times New Roman"/>
          <w:sz w:val="28"/>
          <w:szCs w:val="28"/>
          <w:u w:val="single"/>
        </w:rPr>
        <w:t>La comune esigenza dei due fondi di limitare la spesa a</w:t>
      </w:r>
      <w:r w:rsidR="00B863ED" w:rsidRPr="00384957">
        <w:rPr>
          <w:rFonts w:ascii="Times New Roman" w:hAnsi="Times New Roman" w:cs="Times New Roman"/>
          <w:sz w:val="28"/>
          <w:szCs w:val="28"/>
          <w:u w:val="single"/>
        </w:rPr>
        <w:t>ll’effettiva capacità</w:t>
      </w:r>
      <w:r w:rsidR="0096256B" w:rsidRPr="00384957">
        <w:rPr>
          <w:rFonts w:ascii="Times New Roman" w:hAnsi="Times New Roman" w:cs="Times New Roman"/>
          <w:sz w:val="28"/>
          <w:szCs w:val="28"/>
          <w:u w:val="single"/>
        </w:rPr>
        <w:t xml:space="preserve"> finanziaria dell’ente</w:t>
      </w:r>
      <w:r w:rsidRPr="00384957">
        <w:rPr>
          <w:rFonts w:ascii="Times New Roman" w:hAnsi="Times New Roman" w:cs="Times New Roman"/>
          <w:sz w:val="28"/>
          <w:szCs w:val="28"/>
          <w:u w:val="single"/>
        </w:rPr>
        <w:t>, evitando un’impropria espansione generata dalla mera copertura in termini di competenza</w:t>
      </w:r>
      <w:r w:rsidRPr="006309F9">
        <w:rPr>
          <w:rFonts w:ascii="Times New Roman" w:hAnsi="Times New Roman" w:cs="Times New Roman"/>
          <w:sz w:val="28"/>
          <w:szCs w:val="28"/>
        </w:rPr>
        <w:t xml:space="preserve"> (media</w:t>
      </w:r>
      <w:r w:rsidR="005E5C75">
        <w:rPr>
          <w:rFonts w:ascii="Times New Roman" w:hAnsi="Times New Roman" w:cs="Times New Roman"/>
          <w:sz w:val="28"/>
          <w:szCs w:val="28"/>
        </w:rPr>
        <w:t xml:space="preserve">nte un </w:t>
      </w:r>
      <w:r w:rsidRPr="006309F9">
        <w:rPr>
          <w:rFonts w:ascii="Times New Roman" w:hAnsi="Times New Roman" w:cs="Times New Roman"/>
          <w:sz w:val="28"/>
          <w:szCs w:val="28"/>
        </w:rPr>
        <w:t>avanzo d’amministrazione</w:t>
      </w:r>
      <w:r w:rsidR="005E5C75">
        <w:rPr>
          <w:rFonts w:ascii="Times New Roman" w:hAnsi="Times New Roman" w:cs="Times New Roman"/>
          <w:sz w:val="28"/>
          <w:szCs w:val="28"/>
        </w:rPr>
        <w:t xml:space="preserve"> fondato su residui attivi di dubbia esigibilità</w:t>
      </w:r>
      <w:r w:rsidRPr="006309F9">
        <w:rPr>
          <w:rFonts w:ascii="Times New Roman" w:hAnsi="Times New Roman" w:cs="Times New Roman"/>
          <w:sz w:val="28"/>
          <w:szCs w:val="28"/>
        </w:rPr>
        <w:t>), non incide sulla differente funzione</w:t>
      </w:r>
      <w:r w:rsidR="005834B3">
        <w:rPr>
          <w:rFonts w:ascii="Times New Roman" w:hAnsi="Times New Roman" w:cs="Times New Roman"/>
          <w:sz w:val="28"/>
          <w:szCs w:val="28"/>
        </w:rPr>
        <w:t>,</w:t>
      </w:r>
      <w:r w:rsidRPr="006309F9">
        <w:rPr>
          <w:rFonts w:ascii="Times New Roman" w:hAnsi="Times New Roman" w:cs="Times New Roman"/>
          <w:sz w:val="28"/>
          <w:szCs w:val="28"/>
        </w:rPr>
        <w:t xml:space="preserve"> svolta</w:t>
      </w:r>
      <w:r w:rsidR="005834B3">
        <w:rPr>
          <w:rFonts w:ascii="Times New Roman" w:hAnsi="Times New Roman" w:cs="Times New Roman"/>
          <w:sz w:val="28"/>
          <w:szCs w:val="28"/>
        </w:rPr>
        <w:t>, rispettivamente,</w:t>
      </w:r>
      <w:r w:rsidR="001C6782">
        <w:rPr>
          <w:rFonts w:ascii="Times New Roman" w:hAnsi="Times New Roman" w:cs="Times New Roman"/>
          <w:sz w:val="28"/>
          <w:szCs w:val="28"/>
        </w:rPr>
        <w:t xml:space="preserve"> da ognuno dei due</w:t>
      </w:r>
      <w:r w:rsidRPr="006309F9">
        <w:rPr>
          <w:rFonts w:ascii="Times New Roman" w:hAnsi="Times New Roman" w:cs="Times New Roman"/>
          <w:sz w:val="28"/>
          <w:szCs w:val="28"/>
        </w:rPr>
        <w:t xml:space="preserve">. </w:t>
      </w:r>
      <w:r w:rsidR="001C6782">
        <w:rPr>
          <w:rFonts w:ascii="Times New Roman" w:hAnsi="Times New Roman" w:cs="Times New Roman"/>
          <w:sz w:val="28"/>
          <w:szCs w:val="28"/>
        </w:rPr>
        <w:t>Nello specifico, l</w:t>
      </w:r>
      <w:r w:rsidRPr="006309F9">
        <w:rPr>
          <w:rFonts w:ascii="Times New Roman" w:hAnsi="Times New Roman" w:cs="Times New Roman"/>
          <w:sz w:val="28"/>
          <w:szCs w:val="28"/>
        </w:rPr>
        <w:t>’anticipazione di liquidità</w:t>
      </w:r>
      <w:r w:rsidR="001C6782">
        <w:rPr>
          <w:rFonts w:ascii="Times New Roman" w:hAnsi="Times New Roman" w:cs="Times New Roman"/>
          <w:sz w:val="28"/>
          <w:szCs w:val="28"/>
        </w:rPr>
        <w:t>,</w:t>
      </w:r>
      <w:r w:rsidRPr="006309F9">
        <w:rPr>
          <w:rFonts w:ascii="Times New Roman" w:hAnsi="Times New Roman" w:cs="Times New Roman"/>
          <w:sz w:val="28"/>
          <w:szCs w:val="28"/>
        </w:rPr>
        <w:t xml:space="preserve"> erogata ai sensi del d.l. 35/2013</w:t>
      </w:r>
      <w:r w:rsidR="005E5C75">
        <w:rPr>
          <w:rFonts w:ascii="Times New Roman" w:hAnsi="Times New Roman" w:cs="Times New Roman"/>
          <w:sz w:val="28"/>
          <w:szCs w:val="28"/>
        </w:rPr>
        <w:t xml:space="preserve"> (o di similari norme successive)</w:t>
      </w:r>
      <w:r w:rsidRPr="006309F9">
        <w:rPr>
          <w:rFonts w:ascii="Times New Roman" w:hAnsi="Times New Roman" w:cs="Times New Roman"/>
          <w:sz w:val="28"/>
          <w:szCs w:val="28"/>
        </w:rPr>
        <w:t xml:space="preserve">, come statuito anche dalla </w:t>
      </w:r>
      <w:proofErr w:type="gramStart"/>
      <w:r w:rsidRPr="006309F9">
        <w:rPr>
          <w:rFonts w:ascii="Times New Roman" w:hAnsi="Times New Roman" w:cs="Times New Roman"/>
          <w:sz w:val="28"/>
          <w:szCs w:val="28"/>
        </w:rPr>
        <w:t>Corte Costituzionale</w:t>
      </w:r>
      <w:proofErr w:type="gramEnd"/>
      <w:r w:rsidRPr="006309F9">
        <w:rPr>
          <w:rFonts w:ascii="Times New Roman" w:hAnsi="Times New Roman" w:cs="Times New Roman"/>
          <w:sz w:val="28"/>
          <w:szCs w:val="28"/>
        </w:rPr>
        <w:t xml:space="preserve"> (sentenza n. 181</w:t>
      </w:r>
      <w:r w:rsidR="005E5C75">
        <w:rPr>
          <w:rFonts w:ascii="Times New Roman" w:hAnsi="Times New Roman" w:cs="Times New Roman"/>
          <w:sz w:val="28"/>
          <w:szCs w:val="28"/>
        </w:rPr>
        <w:t>/2015</w:t>
      </w:r>
      <w:r w:rsidRPr="006309F9">
        <w:rPr>
          <w:rFonts w:ascii="Times New Roman" w:hAnsi="Times New Roman" w:cs="Times New Roman"/>
          <w:sz w:val="28"/>
          <w:szCs w:val="28"/>
        </w:rPr>
        <w:t xml:space="preserve">), per non incidere sul risultato di amministrazione, deve essere “compensata” da </w:t>
      </w:r>
      <w:r w:rsidR="005E5C75">
        <w:rPr>
          <w:rFonts w:ascii="Times New Roman" w:hAnsi="Times New Roman" w:cs="Times New Roman"/>
          <w:sz w:val="28"/>
          <w:szCs w:val="28"/>
        </w:rPr>
        <w:t xml:space="preserve">un simmetrico </w:t>
      </w:r>
      <w:r w:rsidRPr="006309F9">
        <w:rPr>
          <w:rFonts w:ascii="Times New Roman" w:hAnsi="Times New Roman" w:cs="Times New Roman"/>
          <w:sz w:val="28"/>
          <w:szCs w:val="28"/>
        </w:rPr>
        <w:t>accantonamento, al fine di impedire un incremento della capacità di spesa (posto che il pagamento dei residui passivi, effettuato grazie all’anticipazione, ne aumenta la quota libera</w:t>
      </w:r>
      <w:r w:rsidRPr="006309F9">
        <w:rPr>
          <w:rStyle w:val="Rimandonotaapidipagina"/>
          <w:rFonts w:ascii="Times New Roman" w:hAnsi="Times New Roman" w:cs="Times New Roman"/>
          <w:sz w:val="28"/>
          <w:szCs w:val="28"/>
        </w:rPr>
        <w:footnoteReference w:id="84"/>
      </w:r>
      <w:r w:rsidR="005E5C75">
        <w:rPr>
          <w:rFonts w:ascii="Times New Roman" w:hAnsi="Times New Roman" w:cs="Times New Roman"/>
          <w:sz w:val="28"/>
          <w:szCs w:val="28"/>
        </w:rPr>
        <w:t xml:space="preserve">). </w:t>
      </w:r>
    </w:p>
    <w:p w14:paraId="66F5AFE5" w14:textId="4DE39E56" w:rsidR="007B692A" w:rsidRDefault="005E5C75" w:rsidP="006309F9">
      <w:pPr>
        <w:pStyle w:val="Corpotesto"/>
        <w:spacing w:before="0" w:after="120"/>
        <w:jc w:val="both"/>
        <w:rPr>
          <w:rFonts w:ascii="Times New Roman" w:hAnsi="Times New Roman" w:cs="Times New Roman"/>
          <w:sz w:val="28"/>
          <w:szCs w:val="28"/>
        </w:rPr>
      </w:pPr>
      <w:r w:rsidRPr="00384957">
        <w:rPr>
          <w:rFonts w:ascii="Times New Roman" w:hAnsi="Times New Roman" w:cs="Times New Roman"/>
          <w:sz w:val="28"/>
          <w:szCs w:val="28"/>
          <w:u w:val="single"/>
        </w:rPr>
        <w:t>L’art. 2, comma</w:t>
      </w:r>
      <w:r w:rsidR="00110AFC" w:rsidRPr="00384957">
        <w:rPr>
          <w:rFonts w:ascii="Times New Roman" w:hAnsi="Times New Roman" w:cs="Times New Roman"/>
          <w:sz w:val="28"/>
          <w:szCs w:val="28"/>
          <w:u w:val="single"/>
        </w:rPr>
        <w:t xml:space="preserve"> 6, del d.l. 78/2015 mira</w:t>
      </w:r>
      <w:r w:rsidR="00361458">
        <w:rPr>
          <w:rFonts w:ascii="Times New Roman" w:hAnsi="Times New Roman" w:cs="Times New Roman"/>
          <w:sz w:val="28"/>
          <w:szCs w:val="28"/>
          <w:u w:val="single"/>
        </w:rPr>
        <w:t>va</w:t>
      </w:r>
      <w:r w:rsidR="00110AFC" w:rsidRPr="00384957">
        <w:rPr>
          <w:rFonts w:ascii="Times New Roman" w:hAnsi="Times New Roman" w:cs="Times New Roman"/>
          <w:sz w:val="28"/>
          <w:szCs w:val="28"/>
          <w:u w:val="single"/>
        </w:rPr>
        <w:t>, pertanto, a non comprimere eccessivamente l’autonomia finanziaria degli enti</w:t>
      </w:r>
      <w:r w:rsidR="00110AFC" w:rsidRPr="006309F9">
        <w:rPr>
          <w:rFonts w:ascii="Times New Roman" w:hAnsi="Times New Roman" w:cs="Times New Roman"/>
          <w:sz w:val="28"/>
          <w:szCs w:val="28"/>
        </w:rPr>
        <w:t xml:space="preserve">, </w:t>
      </w:r>
      <w:r w:rsidR="00361458">
        <w:rPr>
          <w:rFonts w:ascii="Times New Roman" w:hAnsi="Times New Roman" w:cs="Times New Roman"/>
          <w:sz w:val="28"/>
          <w:szCs w:val="28"/>
        </w:rPr>
        <w:t>sul presupposto</w:t>
      </w:r>
      <w:r w:rsidR="00110AFC" w:rsidRPr="006309F9">
        <w:rPr>
          <w:rFonts w:ascii="Times New Roman" w:hAnsi="Times New Roman" w:cs="Times New Roman"/>
          <w:sz w:val="28"/>
          <w:szCs w:val="28"/>
        </w:rPr>
        <w:t xml:space="preserve"> che l’utilizzo dell’accantonamento a FAL ai fini del FCDE non si traduce</w:t>
      </w:r>
      <w:r w:rsidR="00345832">
        <w:rPr>
          <w:rFonts w:ascii="Times New Roman" w:hAnsi="Times New Roman" w:cs="Times New Roman"/>
          <w:sz w:val="28"/>
          <w:szCs w:val="28"/>
        </w:rPr>
        <w:t>,</w:t>
      </w:r>
      <w:r w:rsidR="00110AFC" w:rsidRPr="006309F9">
        <w:rPr>
          <w:rFonts w:ascii="Times New Roman" w:hAnsi="Times New Roman" w:cs="Times New Roman"/>
          <w:sz w:val="28"/>
          <w:szCs w:val="28"/>
        </w:rPr>
        <w:t xml:space="preserve"> automaticamente</w:t>
      </w:r>
      <w:r w:rsidR="00345832">
        <w:rPr>
          <w:rFonts w:ascii="Times New Roman" w:hAnsi="Times New Roman" w:cs="Times New Roman"/>
          <w:sz w:val="28"/>
          <w:szCs w:val="28"/>
        </w:rPr>
        <w:t>,</w:t>
      </w:r>
      <w:r w:rsidR="00110AFC" w:rsidRPr="006309F9">
        <w:rPr>
          <w:rFonts w:ascii="Times New Roman" w:hAnsi="Times New Roman" w:cs="Times New Roman"/>
          <w:sz w:val="28"/>
          <w:szCs w:val="28"/>
        </w:rPr>
        <w:t xml:space="preserve"> </w:t>
      </w:r>
      <w:r w:rsidR="005834B3">
        <w:rPr>
          <w:rFonts w:ascii="Times New Roman" w:hAnsi="Times New Roman" w:cs="Times New Roman"/>
          <w:sz w:val="28"/>
          <w:szCs w:val="28"/>
        </w:rPr>
        <w:t xml:space="preserve">nel rischio di </w:t>
      </w:r>
      <w:r w:rsidR="00110AFC" w:rsidRPr="006309F9">
        <w:rPr>
          <w:rFonts w:ascii="Times New Roman" w:hAnsi="Times New Roman" w:cs="Times New Roman"/>
          <w:sz w:val="28"/>
          <w:szCs w:val="28"/>
        </w:rPr>
        <w:t xml:space="preserve">una surrettizia </w:t>
      </w:r>
      <w:r w:rsidR="005834B3">
        <w:rPr>
          <w:rFonts w:ascii="Times New Roman" w:hAnsi="Times New Roman" w:cs="Times New Roman"/>
          <w:sz w:val="28"/>
          <w:szCs w:val="28"/>
        </w:rPr>
        <w:t>fittizia copertura di future</w:t>
      </w:r>
      <w:r w:rsidR="0038436F">
        <w:rPr>
          <w:rFonts w:ascii="Times New Roman" w:hAnsi="Times New Roman" w:cs="Times New Roman"/>
          <w:sz w:val="28"/>
          <w:szCs w:val="28"/>
        </w:rPr>
        <w:t xml:space="preserve"> spese</w:t>
      </w:r>
      <w:r w:rsidR="00110AFC" w:rsidRPr="006309F9">
        <w:rPr>
          <w:rFonts w:ascii="Times New Roman" w:hAnsi="Times New Roman" w:cs="Times New Roman"/>
          <w:sz w:val="28"/>
          <w:szCs w:val="28"/>
        </w:rPr>
        <w:t xml:space="preserve">, in quanto, l’ente </w:t>
      </w:r>
      <w:r w:rsidR="005834B3">
        <w:rPr>
          <w:rFonts w:ascii="Times New Roman" w:hAnsi="Times New Roman" w:cs="Times New Roman"/>
          <w:sz w:val="28"/>
          <w:szCs w:val="28"/>
        </w:rPr>
        <w:t>territoriale</w:t>
      </w:r>
      <w:r w:rsidR="00110AFC" w:rsidRPr="006309F9">
        <w:rPr>
          <w:rFonts w:ascii="Times New Roman" w:hAnsi="Times New Roman" w:cs="Times New Roman"/>
          <w:sz w:val="28"/>
          <w:szCs w:val="28"/>
        </w:rPr>
        <w:t xml:space="preserve">, in ogni caso, in aderenza al Principio contabile applicato concernente la contabilità finanziaria (Allegato 4/2 al d.lgs. 118/2011), </w:t>
      </w:r>
      <w:r w:rsidR="00110AFC" w:rsidRPr="00C62821">
        <w:rPr>
          <w:rFonts w:ascii="Times New Roman" w:hAnsi="Times New Roman" w:cs="Times New Roman"/>
          <w:sz w:val="28"/>
          <w:szCs w:val="28"/>
          <w:u w:val="single"/>
        </w:rPr>
        <w:t>è tenuto a dimostrare di aver accantonato</w:t>
      </w:r>
      <w:r w:rsidR="005834B3" w:rsidRPr="00C62821">
        <w:rPr>
          <w:rFonts w:ascii="Times New Roman" w:hAnsi="Times New Roman" w:cs="Times New Roman"/>
          <w:sz w:val="28"/>
          <w:szCs w:val="28"/>
          <w:u w:val="single"/>
        </w:rPr>
        <w:t>, a FCDE,</w:t>
      </w:r>
      <w:r w:rsidR="00110AFC" w:rsidRPr="00C62821">
        <w:rPr>
          <w:rFonts w:ascii="Times New Roman" w:hAnsi="Times New Roman" w:cs="Times New Roman"/>
          <w:sz w:val="28"/>
          <w:szCs w:val="28"/>
          <w:u w:val="single"/>
        </w:rPr>
        <w:t xml:space="preserve"> adeguate risorse per far fronte all’ipotesi di parziale o totale cancellazione dei residui attivi</w:t>
      </w:r>
      <w:r w:rsidR="005834B3">
        <w:rPr>
          <w:rStyle w:val="Rimandonotaapidipagina"/>
          <w:rFonts w:ascii="Times New Roman" w:hAnsi="Times New Roman" w:cs="Times New Roman"/>
          <w:sz w:val="28"/>
          <w:szCs w:val="28"/>
        </w:rPr>
        <w:footnoteReference w:id="85"/>
      </w:r>
      <w:r w:rsidR="00110AFC" w:rsidRPr="006309F9">
        <w:rPr>
          <w:rFonts w:ascii="Times New Roman" w:hAnsi="Times New Roman" w:cs="Times New Roman"/>
          <w:sz w:val="28"/>
          <w:szCs w:val="28"/>
        </w:rPr>
        <w:t xml:space="preserve">. </w:t>
      </w:r>
      <w:r w:rsidR="00345832">
        <w:rPr>
          <w:rFonts w:ascii="Times New Roman" w:hAnsi="Times New Roman" w:cs="Times New Roman"/>
          <w:sz w:val="28"/>
          <w:szCs w:val="28"/>
        </w:rPr>
        <w:t>Grazie alla norma in parola</w:t>
      </w:r>
      <w:r w:rsidR="005834B3">
        <w:rPr>
          <w:rFonts w:ascii="Times New Roman" w:hAnsi="Times New Roman" w:cs="Times New Roman"/>
          <w:sz w:val="28"/>
          <w:szCs w:val="28"/>
        </w:rPr>
        <w:t>, da un lato,</w:t>
      </w:r>
      <w:r w:rsidR="00345832">
        <w:rPr>
          <w:rFonts w:ascii="Times New Roman" w:hAnsi="Times New Roman" w:cs="Times New Roman"/>
          <w:sz w:val="28"/>
          <w:szCs w:val="28"/>
        </w:rPr>
        <w:t xml:space="preserve"> </w:t>
      </w:r>
      <w:r w:rsidR="005834B3">
        <w:rPr>
          <w:rFonts w:ascii="Times New Roman" w:hAnsi="Times New Roman" w:cs="Times New Roman"/>
          <w:sz w:val="28"/>
          <w:szCs w:val="28"/>
        </w:rPr>
        <w:t>si</w:t>
      </w:r>
      <w:r w:rsidR="00110AFC" w:rsidRPr="006309F9">
        <w:rPr>
          <w:rFonts w:ascii="Times New Roman" w:hAnsi="Times New Roman" w:cs="Times New Roman"/>
          <w:sz w:val="28"/>
          <w:szCs w:val="28"/>
        </w:rPr>
        <w:t xml:space="preserve"> elide</w:t>
      </w:r>
      <w:r w:rsidR="004A5001">
        <w:rPr>
          <w:rFonts w:ascii="Times New Roman" w:hAnsi="Times New Roman" w:cs="Times New Roman"/>
          <w:sz w:val="28"/>
          <w:szCs w:val="28"/>
        </w:rPr>
        <w:t>va</w:t>
      </w:r>
      <w:r w:rsidR="00110AFC" w:rsidRPr="006309F9">
        <w:rPr>
          <w:rFonts w:ascii="Times New Roman" w:hAnsi="Times New Roman" w:cs="Times New Roman"/>
          <w:sz w:val="28"/>
          <w:szCs w:val="28"/>
        </w:rPr>
        <w:t xml:space="preserve"> il rischio che l’avanzo </w:t>
      </w:r>
      <w:r w:rsidR="00345832">
        <w:rPr>
          <w:rFonts w:ascii="Times New Roman" w:hAnsi="Times New Roman" w:cs="Times New Roman"/>
          <w:sz w:val="28"/>
          <w:szCs w:val="28"/>
        </w:rPr>
        <w:t xml:space="preserve">(libero) </w:t>
      </w:r>
      <w:r w:rsidR="00110AFC" w:rsidRPr="006309F9">
        <w:rPr>
          <w:rFonts w:ascii="Times New Roman" w:hAnsi="Times New Roman" w:cs="Times New Roman"/>
          <w:sz w:val="28"/>
          <w:szCs w:val="28"/>
        </w:rPr>
        <w:t>d’amministrazione si increment</w:t>
      </w:r>
      <w:r w:rsidR="004A5001">
        <w:rPr>
          <w:rFonts w:ascii="Times New Roman" w:hAnsi="Times New Roman" w:cs="Times New Roman"/>
          <w:sz w:val="28"/>
          <w:szCs w:val="28"/>
        </w:rPr>
        <w:t>asse</w:t>
      </w:r>
      <w:r w:rsidR="00110AFC" w:rsidRPr="006309F9">
        <w:rPr>
          <w:rFonts w:ascii="Times New Roman" w:hAnsi="Times New Roman" w:cs="Times New Roman"/>
          <w:sz w:val="28"/>
          <w:szCs w:val="28"/>
        </w:rPr>
        <w:t xml:space="preserve"> per effetto di crediti non riscuotibili, ma si evita</w:t>
      </w:r>
      <w:r w:rsidR="004A5001">
        <w:rPr>
          <w:rFonts w:ascii="Times New Roman" w:hAnsi="Times New Roman" w:cs="Times New Roman"/>
          <w:sz w:val="28"/>
          <w:szCs w:val="28"/>
        </w:rPr>
        <w:t>va</w:t>
      </w:r>
      <w:r w:rsidR="00345832">
        <w:rPr>
          <w:rFonts w:ascii="Times New Roman" w:hAnsi="Times New Roman" w:cs="Times New Roman"/>
          <w:sz w:val="28"/>
          <w:szCs w:val="28"/>
        </w:rPr>
        <w:t>,</w:t>
      </w:r>
      <w:r w:rsidR="00110AFC" w:rsidRPr="006309F9">
        <w:rPr>
          <w:rFonts w:ascii="Times New Roman" w:hAnsi="Times New Roman" w:cs="Times New Roman"/>
          <w:sz w:val="28"/>
          <w:szCs w:val="28"/>
        </w:rPr>
        <w:t xml:space="preserve"> altresì</w:t>
      </w:r>
      <w:r w:rsidR="00345832">
        <w:rPr>
          <w:rFonts w:ascii="Times New Roman" w:hAnsi="Times New Roman" w:cs="Times New Roman"/>
          <w:sz w:val="28"/>
          <w:szCs w:val="28"/>
        </w:rPr>
        <w:t>,</w:t>
      </w:r>
      <w:r w:rsidR="00110AFC" w:rsidRPr="006309F9">
        <w:rPr>
          <w:rFonts w:ascii="Times New Roman" w:hAnsi="Times New Roman" w:cs="Times New Roman"/>
          <w:sz w:val="28"/>
          <w:szCs w:val="28"/>
        </w:rPr>
        <w:t xml:space="preserve"> che l’accantonamento da anticipazioni di liquidità (</w:t>
      </w:r>
      <w:r w:rsidR="00110AFC" w:rsidRPr="00C62821">
        <w:rPr>
          <w:rFonts w:ascii="Times New Roman" w:hAnsi="Times New Roman" w:cs="Times New Roman"/>
          <w:sz w:val="28"/>
          <w:szCs w:val="28"/>
          <w:u w:val="single"/>
        </w:rPr>
        <w:t xml:space="preserve">che, a monte, deriva dall’attribuzione di un </w:t>
      </w:r>
      <w:r w:rsidR="005834B3" w:rsidRPr="00C62821">
        <w:rPr>
          <w:rFonts w:ascii="Times New Roman" w:hAnsi="Times New Roman" w:cs="Times New Roman"/>
          <w:sz w:val="28"/>
          <w:szCs w:val="28"/>
          <w:u w:val="single"/>
        </w:rPr>
        <w:t xml:space="preserve">finanziamento avente fonte nella medesima </w:t>
      </w:r>
      <w:r w:rsidR="00110AFC" w:rsidRPr="00C62821">
        <w:rPr>
          <w:rFonts w:ascii="Times New Roman" w:hAnsi="Times New Roman" w:cs="Times New Roman"/>
          <w:sz w:val="28"/>
          <w:szCs w:val="28"/>
          <w:u w:val="single"/>
        </w:rPr>
        <w:t>accertata incapacità di riscossione d</w:t>
      </w:r>
      <w:r w:rsidR="00345832" w:rsidRPr="00C62821">
        <w:rPr>
          <w:rFonts w:ascii="Times New Roman" w:hAnsi="Times New Roman" w:cs="Times New Roman"/>
          <w:sz w:val="28"/>
          <w:szCs w:val="28"/>
          <w:u w:val="single"/>
        </w:rPr>
        <w:t>e</w:t>
      </w:r>
      <w:r w:rsidR="00110AFC" w:rsidRPr="00C62821">
        <w:rPr>
          <w:rFonts w:ascii="Times New Roman" w:hAnsi="Times New Roman" w:cs="Times New Roman"/>
          <w:sz w:val="28"/>
          <w:szCs w:val="28"/>
          <w:u w:val="single"/>
        </w:rPr>
        <w:t>i residui attivi</w:t>
      </w:r>
      <w:r w:rsidR="00345832" w:rsidRPr="00C62821">
        <w:rPr>
          <w:rFonts w:ascii="Times New Roman" w:hAnsi="Times New Roman" w:cs="Times New Roman"/>
          <w:sz w:val="28"/>
          <w:szCs w:val="28"/>
          <w:u w:val="single"/>
        </w:rPr>
        <w:t xml:space="preserve">, </w:t>
      </w:r>
      <w:r w:rsidR="005834B3" w:rsidRPr="00C62821">
        <w:rPr>
          <w:rFonts w:ascii="Times New Roman" w:hAnsi="Times New Roman" w:cs="Times New Roman"/>
          <w:sz w:val="28"/>
          <w:szCs w:val="28"/>
          <w:u w:val="single"/>
        </w:rPr>
        <w:t xml:space="preserve">già </w:t>
      </w:r>
      <w:r w:rsidR="00345832" w:rsidRPr="00C62821">
        <w:rPr>
          <w:rFonts w:ascii="Times New Roman" w:hAnsi="Times New Roman" w:cs="Times New Roman"/>
          <w:sz w:val="28"/>
          <w:szCs w:val="28"/>
          <w:u w:val="single"/>
        </w:rPr>
        <w:t>considerati anche ai fini del</w:t>
      </w:r>
      <w:r w:rsidR="005834B3" w:rsidRPr="00C62821">
        <w:rPr>
          <w:rFonts w:ascii="Times New Roman" w:hAnsi="Times New Roman" w:cs="Times New Roman"/>
          <w:sz w:val="28"/>
          <w:szCs w:val="28"/>
          <w:u w:val="single"/>
        </w:rPr>
        <w:t>la costituzione</w:t>
      </w:r>
      <w:r w:rsidR="00345832" w:rsidRPr="00C62821">
        <w:rPr>
          <w:rFonts w:ascii="Times New Roman" w:hAnsi="Times New Roman" w:cs="Times New Roman"/>
          <w:sz w:val="28"/>
          <w:szCs w:val="28"/>
          <w:u w:val="single"/>
        </w:rPr>
        <w:t xml:space="preserve"> FCDE</w:t>
      </w:r>
      <w:r w:rsidR="00110AFC" w:rsidRPr="006309F9">
        <w:rPr>
          <w:rFonts w:ascii="Times New Roman" w:hAnsi="Times New Roman" w:cs="Times New Roman"/>
          <w:sz w:val="28"/>
          <w:szCs w:val="28"/>
        </w:rPr>
        <w:t>) duplic</w:t>
      </w:r>
      <w:r w:rsidR="004A5001">
        <w:rPr>
          <w:rFonts w:ascii="Times New Roman" w:hAnsi="Times New Roman" w:cs="Times New Roman"/>
          <w:sz w:val="28"/>
          <w:szCs w:val="28"/>
        </w:rPr>
        <w:t>asse</w:t>
      </w:r>
      <w:r w:rsidR="00110AFC" w:rsidRPr="006309F9">
        <w:rPr>
          <w:rFonts w:ascii="Times New Roman" w:hAnsi="Times New Roman" w:cs="Times New Roman"/>
          <w:sz w:val="28"/>
          <w:szCs w:val="28"/>
        </w:rPr>
        <w:t>, impropriamente, la stessa esigenza di prevenzione, irrigidendo eccessivamente i bilanci degli enti</w:t>
      </w:r>
      <w:r w:rsidR="005834B3">
        <w:rPr>
          <w:rFonts w:ascii="Times New Roman" w:hAnsi="Times New Roman" w:cs="Times New Roman"/>
          <w:sz w:val="28"/>
          <w:szCs w:val="28"/>
        </w:rPr>
        <w:t xml:space="preserve"> territoriali</w:t>
      </w:r>
      <w:r w:rsidR="004A5001">
        <w:rPr>
          <w:rStyle w:val="Rimandonotaapidipagina"/>
          <w:rFonts w:ascii="Times New Roman" w:hAnsi="Times New Roman" w:cs="Times New Roman"/>
          <w:sz w:val="28"/>
          <w:szCs w:val="28"/>
        </w:rPr>
        <w:footnoteReference w:id="86"/>
      </w:r>
      <w:r w:rsidR="00110AFC" w:rsidRPr="006309F9">
        <w:rPr>
          <w:rFonts w:ascii="Times New Roman" w:hAnsi="Times New Roman" w:cs="Times New Roman"/>
          <w:sz w:val="28"/>
          <w:szCs w:val="28"/>
        </w:rPr>
        <w:t>.</w:t>
      </w:r>
      <w:r w:rsidR="005834B3">
        <w:rPr>
          <w:rFonts w:ascii="Times New Roman" w:hAnsi="Times New Roman" w:cs="Times New Roman"/>
          <w:sz w:val="28"/>
          <w:szCs w:val="28"/>
        </w:rPr>
        <w:t xml:space="preserve"> </w:t>
      </w:r>
    </w:p>
    <w:p w14:paraId="03BED08B" w14:textId="1FC9F9E9" w:rsidR="00110AFC" w:rsidRDefault="009D450A"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Per questo motivo, il legislatore </w:t>
      </w:r>
      <w:r w:rsidR="001A7AE5">
        <w:rPr>
          <w:rFonts w:ascii="Times New Roman" w:hAnsi="Times New Roman" w:cs="Times New Roman"/>
          <w:sz w:val="28"/>
          <w:szCs w:val="28"/>
          <w:u w:val="single"/>
        </w:rPr>
        <w:t>aveva</w:t>
      </w:r>
      <w:r w:rsidRPr="00C62821">
        <w:rPr>
          <w:rFonts w:ascii="Times New Roman" w:hAnsi="Times New Roman" w:cs="Times New Roman"/>
          <w:sz w:val="28"/>
          <w:szCs w:val="28"/>
          <w:u w:val="single"/>
        </w:rPr>
        <w:t xml:space="preserve"> ritenuto possibile evitare di sommare l’importo dei due fondi quando l’ente dimostr</w:t>
      </w:r>
      <w:r w:rsidR="00B75B94">
        <w:rPr>
          <w:rFonts w:ascii="Times New Roman" w:hAnsi="Times New Roman" w:cs="Times New Roman"/>
          <w:sz w:val="28"/>
          <w:szCs w:val="28"/>
          <w:u w:val="single"/>
        </w:rPr>
        <w:t>asse</w:t>
      </w:r>
      <w:r w:rsidRPr="00C62821">
        <w:rPr>
          <w:rFonts w:ascii="Times New Roman" w:hAnsi="Times New Roman" w:cs="Times New Roman"/>
          <w:sz w:val="28"/>
          <w:szCs w:val="28"/>
          <w:u w:val="single"/>
        </w:rPr>
        <w:t xml:space="preserve"> di aver accantonato un FCDE in misura congrua</w:t>
      </w:r>
      <w:r>
        <w:rPr>
          <w:rFonts w:ascii="Times New Roman" w:hAnsi="Times New Roman" w:cs="Times New Roman"/>
          <w:sz w:val="28"/>
          <w:szCs w:val="28"/>
        </w:rPr>
        <w:t xml:space="preserve"> alla percentuale di mancate riscossioni registrate in esercizi pregressi</w:t>
      </w:r>
      <w:r w:rsidR="00C62821">
        <w:rPr>
          <w:rFonts w:ascii="Times New Roman" w:hAnsi="Times New Roman" w:cs="Times New Roman"/>
          <w:sz w:val="28"/>
          <w:szCs w:val="28"/>
        </w:rPr>
        <w:t>.</w:t>
      </w:r>
      <w:r>
        <w:rPr>
          <w:rFonts w:ascii="Times New Roman" w:hAnsi="Times New Roman" w:cs="Times New Roman"/>
          <w:sz w:val="28"/>
          <w:szCs w:val="28"/>
        </w:rPr>
        <w:t xml:space="preserve"> Va tenuto presente, altresì, che, se è vero che l’anticipazione di liquidità ha consentito di chiudere pregressi residui passivi, incrementando, </w:t>
      </w:r>
      <w:r w:rsidRPr="00C62821">
        <w:rPr>
          <w:rFonts w:ascii="Times New Roman" w:hAnsi="Times New Roman" w:cs="Times New Roman"/>
          <w:i/>
          <w:sz w:val="28"/>
          <w:szCs w:val="28"/>
        </w:rPr>
        <w:t>in parte qua</w:t>
      </w:r>
      <w:r>
        <w:rPr>
          <w:rFonts w:ascii="Times New Roman" w:hAnsi="Times New Roman" w:cs="Times New Roman"/>
          <w:sz w:val="28"/>
          <w:szCs w:val="28"/>
        </w:rPr>
        <w:t>, il valore del risultato d’amministrazione, e, di conseguenza, la capacità di spesa dell’ente territoriale (la cui cassa e residui attivi</w:t>
      </w:r>
      <w:r w:rsidR="00DB72F6">
        <w:rPr>
          <w:rFonts w:ascii="Times New Roman" w:hAnsi="Times New Roman" w:cs="Times New Roman"/>
          <w:sz w:val="28"/>
          <w:szCs w:val="28"/>
        </w:rPr>
        <w:t>,</w:t>
      </w:r>
      <w:r>
        <w:rPr>
          <w:rFonts w:ascii="Times New Roman" w:hAnsi="Times New Roman" w:cs="Times New Roman"/>
          <w:sz w:val="28"/>
          <w:szCs w:val="28"/>
        </w:rPr>
        <w:t xml:space="preserve"> che ai quei debiti avrebbero dovuto dare copertura, sono rimasti inalterati) è anche vero che l’ente territoriale, </w:t>
      </w:r>
      <w:r w:rsidRPr="00C62821">
        <w:rPr>
          <w:rFonts w:ascii="Times New Roman" w:hAnsi="Times New Roman" w:cs="Times New Roman"/>
          <w:sz w:val="28"/>
          <w:szCs w:val="28"/>
          <w:u w:val="single"/>
        </w:rPr>
        <w:t>negli anni successivi, deve reperire adeguate risorse (distraendole ad altre necessità di spesa) per provvedere al rimborso (quota capitale e interessi) dell’anticipazione ricevuta (fattor</w:t>
      </w:r>
      <w:r w:rsidR="004030AC" w:rsidRPr="00C62821">
        <w:rPr>
          <w:rFonts w:ascii="Times New Roman" w:hAnsi="Times New Roman" w:cs="Times New Roman"/>
          <w:sz w:val="28"/>
          <w:szCs w:val="28"/>
          <w:u w:val="single"/>
        </w:rPr>
        <w:t>e che comprime, a sua volta, sia pure diluendola nel tempo, la capacità di spesa</w:t>
      </w:r>
      <w:r w:rsidR="004030AC">
        <w:rPr>
          <w:rFonts w:ascii="Times New Roman" w:hAnsi="Times New Roman" w:cs="Times New Roman"/>
          <w:sz w:val="28"/>
          <w:szCs w:val="28"/>
        </w:rPr>
        <w:t xml:space="preserve">). Di conseguenza se, oltre alla </w:t>
      </w:r>
      <w:r w:rsidR="00796741">
        <w:rPr>
          <w:rFonts w:ascii="Times New Roman" w:hAnsi="Times New Roman" w:cs="Times New Roman"/>
          <w:sz w:val="28"/>
          <w:szCs w:val="28"/>
        </w:rPr>
        <w:t>ri</w:t>
      </w:r>
      <w:r w:rsidR="004030AC">
        <w:rPr>
          <w:rFonts w:ascii="Times New Roman" w:hAnsi="Times New Roman" w:cs="Times New Roman"/>
          <w:sz w:val="28"/>
          <w:szCs w:val="28"/>
        </w:rPr>
        <w:t>detta compressione, l’ente dovesse contabilizzare, nel rendiconto, sia l’accantonamento a titolo di FCDE che di FAL, la capacità di spesa verrebbe ridotta ad un valore inferiore a quello necessario a garantire i futuri equilibri di bilancio (a cui, come esposto in apertura</w:t>
      </w:r>
      <w:r w:rsidR="00970E2C">
        <w:rPr>
          <w:rFonts w:ascii="Times New Roman" w:hAnsi="Times New Roman" w:cs="Times New Roman"/>
          <w:sz w:val="28"/>
          <w:szCs w:val="28"/>
        </w:rPr>
        <w:t xml:space="preserve"> del capitolo</w:t>
      </w:r>
      <w:r w:rsidR="004030AC">
        <w:rPr>
          <w:rFonts w:ascii="Times New Roman" w:hAnsi="Times New Roman" w:cs="Times New Roman"/>
          <w:sz w:val="28"/>
          <w:szCs w:val="28"/>
        </w:rPr>
        <w:t>, i fondi sono funzionali</w:t>
      </w:r>
      <w:r w:rsidR="00A56E0A">
        <w:rPr>
          <w:rFonts w:ascii="Times New Roman" w:hAnsi="Times New Roman" w:cs="Times New Roman"/>
          <w:sz w:val="28"/>
          <w:szCs w:val="28"/>
        </w:rPr>
        <w:t>),</w:t>
      </w:r>
      <w:r w:rsidR="004030AC">
        <w:rPr>
          <w:rFonts w:ascii="Times New Roman" w:hAnsi="Times New Roman" w:cs="Times New Roman"/>
          <w:sz w:val="28"/>
          <w:szCs w:val="28"/>
        </w:rPr>
        <w:t xml:space="preserve"> </w:t>
      </w:r>
      <w:r w:rsidR="004030AC" w:rsidRPr="00C62821">
        <w:rPr>
          <w:rFonts w:ascii="Times New Roman" w:hAnsi="Times New Roman" w:cs="Times New Roman"/>
          <w:sz w:val="28"/>
          <w:szCs w:val="28"/>
          <w:u w:val="single"/>
        </w:rPr>
        <w:t>assume</w:t>
      </w:r>
      <w:r w:rsidR="002F3C10">
        <w:rPr>
          <w:rFonts w:ascii="Times New Roman" w:hAnsi="Times New Roman" w:cs="Times New Roman"/>
          <w:sz w:val="28"/>
          <w:szCs w:val="28"/>
          <w:u w:val="single"/>
        </w:rPr>
        <w:t>ndo</w:t>
      </w:r>
      <w:r w:rsidR="004030AC" w:rsidRPr="00C62821">
        <w:rPr>
          <w:rFonts w:ascii="Times New Roman" w:hAnsi="Times New Roman" w:cs="Times New Roman"/>
          <w:sz w:val="28"/>
          <w:szCs w:val="28"/>
          <w:u w:val="single"/>
        </w:rPr>
        <w:t xml:space="preserve"> valori tendenti all’integrale eli</w:t>
      </w:r>
      <w:r w:rsidR="00970E2C" w:rsidRPr="00C62821">
        <w:rPr>
          <w:rFonts w:ascii="Times New Roman" w:hAnsi="Times New Roman" w:cs="Times New Roman"/>
          <w:sz w:val="28"/>
          <w:szCs w:val="28"/>
          <w:u w:val="single"/>
        </w:rPr>
        <w:t xml:space="preserve">sione </w:t>
      </w:r>
      <w:r w:rsidR="004030AC" w:rsidRPr="00C62821">
        <w:rPr>
          <w:rFonts w:ascii="Times New Roman" w:hAnsi="Times New Roman" w:cs="Times New Roman"/>
          <w:sz w:val="28"/>
          <w:szCs w:val="28"/>
          <w:u w:val="single"/>
        </w:rPr>
        <w:t>del rischio, piuttosto che alla sua adeguata prevenzione</w:t>
      </w:r>
      <w:r w:rsidR="004030AC">
        <w:rPr>
          <w:rStyle w:val="Rimandonotaapidipagina"/>
          <w:rFonts w:ascii="Times New Roman" w:hAnsi="Times New Roman" w:cs="Times New Roman"/>
          <w:sz w:val="28"/>
          <w:szCs w:val="28"/>
        </w:rPr>
        <w:footnoteReference w:id="87"/>
      </w:r>
      <w:r w:rsidR="00970E2C">
        <w:rPr>
          <w:rFonts w:ascii="Times New Roman" w:hAnsi="Times New Roman" w:cs="Times New Roman"/>
          <w:sz w:val="28"/>
          <w:szCs w:val="28"/>
        </w:rPr>
        <w:t>.</w:t>
      </w:r>
      <w:r w:rsidR="004030A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5051DAB" w14:textId="12E9CAFD" w:rsidR="00540909" w:rsidRPr="00540909" w:rsidRDefault="00B75B94" w:rsidP="0054090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La</w:t>
      </w:r>
      <w:r w:rsidR="00540909" w:rsidRPr="00540909">
        <w:rPr>
          <w:rFonts w:ascii="Times New Roman" w:hAnsi="Times New Roman" w:cs="Times New Roman"/>
          <w:sz w:val="28"/>
          <w:szCs w:val="28"/>
        </w:rPr>
        <w:t xml:space="preserve"> norma</w:t>
      </w:r>
      <w:r>
        <w:rPr>
          <w:rFonts w:ascii="Times New Roman" w:hAnsi="Times New Roman" w:cs="Times New Roman"/>
          <w:sz w:val="28"/>
          <w:szCs w:val="28"/>
        </w:rPr>
        <w:t>, inoltre,</w:t>
      </w:r>
      <w:r w:rsidR="00540909" w:rsidRPr="00540909">
        <w:rPr>
          <w:rFonts w:ascii="Times New Roman" w:hAnsi="Times New Roman" w:cs="Times New Roman"/>
          <w:sz w:val="28"/>
          <w:szCs w:val="28"/>
        </w:rPr>
        <w:t xml:space="preserve"> non consent</w:t>
      </w:r>
      <w:r>
        <w:rPr>
          <w:rFonts w:ascii="Times New Roman" w:hAnsi="Times New Roman" w:cs="Times New Roman"/>
          <w:sz w:val="28"/>
          <w:szCs w:val="28"/>
        </w:rPr>
        <w:t>iva</w:t>
      </w:r>
      <w:r w:rsidR="00540909" w:rsidRPr="00540909">
        <w:rPr>
          <w:rFonts w:ascii="Times New Roman" w:hAnsi="Times New Roman" w:cs="Times New Roman"/>
          <w:sz w:val="28"/>
          <w:szCs w:val="28"/>
        </w:rPr>
        <w:t xml:space="preserve"> agli enti territoriali di “eliminare” la quota accantonata a titolo di FAL nel risultato d’amministrazione (interpretazione che </w:t>
      </w:r>
      <w:r w:rsidR="0007672F">
        <w:rPr>
          <w:rFonts w:ascii="Times New Roman" w:hAnsi="Times New Roman" w:cs="Times New Roman"/>
          <w:sz w:val="28"/>
          <w:szCs w:val="28"/>
        </w:rPr>
        <w:t xml:space="preserve">si </w:t>
      </w:r>
      <w:r w:rsidR="00540909" w:rsidRPr="00540909">
        <w:rPr>
          <w:rFonts w:ascii="Times New Roman" w:hAnsi="Times New Roman" w:cs="Times New Roman"/>
          <w:sz w:val="28"/>
          <w:szCs w:val="28"/>
        </w:rPr>
        <w:t>porrebbe</w:t>
      </w:r>
      <w:r w:rsidR="0007672F">
        <w:rPr>
          <w:rFonts w:ascii="Times New Roman" w:hAnsi="Times New Roman" w:cs="Times New Roman"/>
          <w:sz w:val="28"/>
          <w:szCs w:val="28"/>
        </w:rPr>
        <w:t xml:space="preserve"> in</w:t>
      </w:r>
      <w:r w:rsidR="00540909" w:rsidRPr="00540909">
        <w:rPr>
          <w:rFonts w:ascii="Times New Roman" w:hAnsi="Times New Roman" w:cs="Times New Roman"/>
          <w:sz w:val="28"/>
          <w:szCs w:val="28"/>
        </w:rPr>
        <w:t xml:space="preserve"> contrasto con i principi affermati dalla Corte Costituzionale nelle sentenze n. 181/2015 e n. 89/2017, sotto il profilo della mancata “</w:t>
      </w:r>
      <w:r w:rsidR="00540909" w:rsidRPr="00540909">
        <w:rPr>
          <w:rFonts w:ascii="Times New Roman" w:hAnsi="Times New Roman" w:cs="Times New Roman"/>
          <w:i/>
          <w:sz w:val="28"/>
          <w:szCs w:val="28"/>
        </w:rPr>
        <w:t>sterilizzazione</w:t>
      </w:r>
      <w:r w:rsidR="00540909" w:rsidRPr="00540909">
        <w:rPr>
          <w:rFonts w:ascii="Times New Roman" w:hAnsi="Times New Roman" w:cs="Times New Roman"/>
          <w:sz w:val="28"/>
          <w:szCs w:val="28"/>
        </w:rPr>
        <w:t>”, ai fini del risultato d’amministrazione, delle somme riscosse a titolo di anticipazioni di liqu</w:t>
      </w:r>
      <w:r w:rsidR="00B56CC0">
        <w:rPr>
          <w:rFonts w:ascii="Times New Roman" w:hAnsi="Times New Roman" w:cs="Times New Roman"/>
          <w:sz w:val="28"/>
          <w:szCs w:val="28"/>
        </w:rPr>
        <w:t>i</w:t>
      </w:r>
      <w:r w:rsidR="00540909" w:rsidRPr="00540909">
        <w:rPr>
          <w:rFonts w:ascii="Times New Roman" w:hAnsi="Times New Roman" w:cs="Times New Roman"/>
          <w:sz w:val="28"/>
          <w:szCs w:val="28"/>
        </w:rPr>
        <w:t>dità, e non di mutui), ma solo di “conteggiare” (</w:t>
      </w:r>
      <w:r w:rsidR="00540909" w:rsidRPr="003D7F15">
        <w:rPr>
          <w:rFonts w:ascii="Times New Roman" w:hAnsi="Times New Roman" w:cs="Times New Roman"/>
          <w:i/>
          <w:iCs/>
          <w:sz w:val="28"/>
          <w:szCs w:val="28"/>
        </w:rPr>
        <w:t>rectius</w:t>
      </w:r>
      <w:r w:rsidR="00540909" w:rsidRPr="00540909">
        <w:rPr>
          <w:rFonts w:ascii="Times New Roman" w:hAnsi="Times New Roman" w:cs="Times New Roman"/>
          <w:sz w:val="28"/>
          <w:szCs w:val="28"/>
        </w:rPr>
        <w:t>, sommare) quest’ultima ai fini della dimostrazione della congruità della quota accantonata a FCDE (importo che, invece, si riduce in misura simmetrica all’ammont</w:t>
      </w:r>
      <w:r w:rsidR="00B56CC0">
        <w:rPr>
          <w:rFonts w:ascii="Times New Roman" w:hAnsi="Times New Roman" w:cs="Times New Roman"/>
          <w:sz w:val="28"/>
          <w:szCs w:val="28"/>
        </w:rPr>
        <w:t>a</w:t>
      </w:r>
      <w:r w:rsidR="00540909" w:rsidRPr="00540909">
        <w:rPr>
          <w:rFonts w:ascii="Times New Roman" w:hAnsi="Times New Roman" w:cs="Times New Roman"/>
          <w:sz w:val="28"/>
          <w:szCs w:val="28"/>
        </w:rPr>
        <w:t>re del FAL, avendo ritenuto il legislatore, come esposto, che anche quest’ultimo nasca,</w:t>
      </w:r>
      <w:r w:rsidR="00540909" w:rsidRPr="00540909">
        <w:rPr>
          <w:rFonts w:ascii="Times New Roman" w:hAnsi="Times New Roman" w:cs="Times New Roman"/>
          <w:i/>
          <w:sz w:val="28"/>
          <w:szCs w:val="28"/>
        </w:rPr>
        <w:t xml:space="preserve"> ab origine</w:t>
      </w:r>
      <w:r w:rsidR="00540909" w:rsidRPr="00540909">
        <w:rPr>
          <w:rFonts w:ascii="Times New Roman" w:hAnsi="Times New Roman" w:cs="Times New Roman"/>
          <w:sz w:val="28"/>
          <w:szCs w:val="28"/>
        </w:rPr>
        <w:t>, dalla analoga esigenza di copertura del rischio di mancata riscossione di residui attivi, che, di conseguenza, hanno imposto il ricorso all’anticipazione di liquidità).</w:t>
      </w:r>
    </w:p>
    <w:p w14:paraId="2724BD80" w14:textId="2AAF69D3" w:rsidR="00540909" w:rsidRDefault="0007672F" w:rsidP="0054090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I</w:t>
      </w:r>
      <w:r w:rsidR="00540909" w:rsidRPr="00540909">
        <w:rPr>
          <w:rFonts w:ascii="Times New Roman" w:hAnsi="Times New Roman" w:cs="Times New Roman"/>
          <w:sz w:val="28"/>
          <w:szCs w:val="28"/>
        </w:rPr>
        <w:t>nvece, le Sezioni riunite della Corte dei conti in sede giurisdizionale, in speciale composizione, con l’ordinanza n. 5 del 18 febbraio 2019</w:t>
      </w:r>
      <w:r w:rsidR="000E7B6D">
        <w:rPr>
          <w:rFonts w:ascii="Times New Roman" w:hAnsi="Times New Roman" w:cs="Times New Roman"/>
          <w:sz w:val="28"/>
          <w:szCs w:val="28"/>
        </w:rPr>
        <w:t xml:space="preserve"> (mutando i propri orientamenti precedenti)</w:t>
      </w:r>
      <w:r w:rsidR="000E7B6D">
        <w:rPr>
          <w:rStyle w:val="Rimandonotaapidipagina"/>
          <w:rFonts w:ascii="Times New Roman" w:hAnsi="Times New Roman" w:cs="Times New Roman"/>
          <w:sz w:val="28"/>
          <w:szCs w:val="28"/>
        </w:rPr>
        <w:footnoteReference w:id="88"/>
      </w:r>
      <w:r w:rsidR="00540909" w:rsidRPr="00540909">
        <w:rPr>
          <w:rFonts w:ascii="Times New Roman" w:hAnsi="Times New Roman" w:cs="Times New Roman"/>
          <w:sz w:val="28"/>
          <w:szCs w:val="28"/>
        </w:rPr>
        <w:t xml:space="preserve">, hanno sollevato questione di legittimità costituzionale dell’art. 2, comma 6, del decreto-legge n. 78/2015, convertito dalla legge n. 125/2015, come interpretato autenticamente dall’art. 1, comma 814, della legge n. 205/2017, per contrasto con gli artt. 3, 81, 97 e 119 della Costituzione. </w:t>
      </w:r>
      <w:r w:rsidR="003A2E36">
        <w:rPr>
          <w:rFonts w:ascii="Times New Roman" w:hAnsi="Times New Roman" w:cs="Times New Roman"/>
          <w:sz w:val="28"/>
          <w:szCs w:val="28"/>
        </w:rPr>
        <w:t>I</w:t>
      </w:r>
      <w:r w:rsidR="00540909" w:rsidRPr="00540909">
        <w:rPr>
          <w:rFonts w:ascii="Times New Roman" w:hAnsi="Times New Roman" w:cs="Times New Roman"/>
          <w:sz w:val="28"/>
          <w:szCs w:val="28"/>
        </w:rPr>
        <w:t>nfatti, partendo dal presupposto che la norma in esame consenta di elidere la quota accantonata a FAL, hanno ritenuto eluso il giudicato costituzionale formatosi con le sentenze della Consulta n. 181/2015, n. 269/2016 e n. 89/2017, esposte in precedenza (che, per inciso, pur affrontando in motivazione la tematica della corretta qualificazione, e contabilizzazione, delle anticipazioni di liquidità, riguardavano norme di legge regionali). Inoltre, hanno ritenuto che la norma in esame ponga in dubbio la cl</w:t>
      </w:r>
      <w:r w:rsidR="00AC1942">
        <w:rPr>
          <w:rFonts w:ascii="Times New Roman" w:hAnsi="Times New Roman" w:cs="Times New Roman"/>
          <w:sz w:val="28"/>
          <w:szCs w:val="28"/>
        </w:rPr>
        <w:t>au</w:t>
      </w:r>
      <w:r w:rsidR="00540909" w:rsidRPr="00540909">
        <w:rPr>
          <w:rFonts w:ascii="Times New Roman" w:hAnsi="Times New Roman" w:cs="Times New Roman"/>
          <w:sz w:val="28"/>
          <w:szCs w:val="28"/>
        </w:rPr>
        <w:t>sola generale dell’equ</w:t>
      </w:r>
      <w:r w:rsidR="00AC1942">
        <w:rPr>
          <w:rFonts w:ascii="Times New Roman" w:hAnsi="Times New Roman" w:cs="Times New Roman"/>
          <w:sz w:val="28"/>
          <w:szCs w:val="28"/>
        </w:rPr>
        <w:t>i</w:t>
      </w:r>
      <w:r w:rsidR="00540909" w:rsidRPr="00540909">
        <w:rPr>
          <w:rFonts w:ascii="Times New Roman" w:hAnsi="Times New Roman" w:cs="Times New Roman"/>
          <w:sz w:val="28"/>
          <w:szCs w:val="28"/>
        </w:rPr>
        <w:t>librio di bilancio posta dagli art. 81 e 97 della Costituzione, nella misura in cui consente, eliminando il FAL, di dare copertura, mediante le pregresse anticipazioni di liquidità, a nuove spese. Sempre sul presupposto che la norma permetta di non conteggiare il FAL, sarebbe violato il divieto di indebitamento per sole spese di investimento, posto che le anticipazioni a suo tempo ricevute, e che avrebbero dovute essere “sterilizzate” tramite il FAL, potrebbero essere utilizzate anche per finanziare spesa corrente. Infine, sarebbe irragionevolmente violato il principio di uguaglianza posto che la norma consentirebbe un trattamento di favore agli enti in maggiore difficoltà finanziaria (quelli che, oltre a dover costituire un congruo FCDE, hanno richiesto, in passato, anticipazioni di liquidità) rispetto a quelli meno non virtuosi (che devono accantonare solo la quota di FCDE).</w:t>
      </w:r>
    </w:p>
    <w:p w14:paraId="6D97E48F" w14:textId="76FD2FA8" w:rsidR="00B4268C" w:rsidRDefault="00B4268C" w:rsidP="00540909">
      <w:pPr>
        <w:pStyle w:val="Corpotesto"/>
        <w:spacing w:before="0" w:after="120"/>
        <w:jc w:val="both"/>
        <w:rPr>
          <w:rFonts w:ascii="Times New Roman" w:hAnsi="Times New Roman" w:cs="Times New Roman"/>
          <w:sz w:val="28"/>
          <w:szCs w:val="28"/>
        </w:rPr>
      </w:pPr>
      <w:r w:rsidRPr="00B4268C">
        <w:rPr>
          <w:rFonts w:ascii="Times New Roman" w:hAnsi="Times New Roman" w:cs="Times New Roman"/>
          <w:sz w:val="28"/>
          <w:szCs w:val="28"/>
        </w:rPr>
        <w:t>Le questioni sollevate sono state condivise, in riferimento agli artt. 81, 97, primo comma, e 119, sesto comma, Cost., dalla sentenza della Corte Costituzionale n. 4/2020, che, in particolare, ha sottolineato come i tre parametri invocati operano in stretta interdipendenza, cosicché l’anomala utilizzazione delle anticipazioni di liquidità consentita dalle disposizioni impugnate finisce per ledere l’equilibrio del bilancio, il principio di sana gestione finanziaria e, contemporaneamente, viola la regola contenuta nell’art. 119, sesto comma, Cost., secondo cui l’indebitamento degli enti territoriali deve essere riservato a spese di investimento</w:t>
      </w:r>
    </w:p>
    <w:p w14:paraId="7DF50015" w14:textId="77777777" w:rsidR="00540909" w:rsidRPr="006309F9" w:rsidRDefault="00540909" w:rsidP="006309F9">
      <w:pPr>
        <w:pStyle w:val="Corpotesto"/>
        <w:spacing w:before="0" w:after="120"/>
        <w:jc w:val="both"/>
        <w:rPr>
          <w:rFonts w:ascii="Times New Roman" w:hAnsi="Times New Roman" w:cs="Times New Roman"/>
          <w:sz w:val="28"/>
          <w:szCs w:val="28"/>
        </w:rPr>
      </w:pPr>
    </w:p>
    <w:p w14:paraId="4A5312CD" w14:textId="30A50C12" w:rsidR="00110AFC" w:rsidRPr="00970E2C" w:rsidRDefault="00FF4D84" w:rsidP="00970E2C">
      <w:pPr>
        <w:pStyle w:val="Titolo2"/>
      </w:pPr>
      <w:bookmarkStart w:id="8" w:name="_Toc1148501"/>
      <w:r>
        <w:t>1</w:t>
      </w:r>
      <w:r w:rsidR="0028307E" w:rsidRPr="00970E2C">
        <w:t>.3 I fondi rischi e oneri</w:t>
      </w:r>
      <w:bookmarkEnd w:id="8"/>
      <w:r w:rsidR="00110AFC" w:rsidRPr="00970E2C">
        <w:t xml:space="preserve"> </w:t>
      </w:r>
    </w:p>
    <w:p w14:paraId="7005260D" w14:textId="36E297D4" w:rsidR="00110AFC" w:rsidRPr="006309F9"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I fondi e gli accantonamenti, di cui</w:t>
      </w:r>
      <w:r w:rsidR="000E3996">
        <w:rPr>
          <w:rFonts w:ascii="Times New Roman" w:hAnsi="Times New Roman" w:cs="Times New Roman"/>
          <w:sz w:val="28"/>
          <w:szCs w:val="28"/>
        </w:rPr>
        <w:t>, come esposto,</w:t>
      </w:r>
      <w:r w:rsidRPr="006309F9">
        <w:rPr>
          <w:rFonts w:ascii="Times New Roman" w:hAnsi="Times New Roman" w:cs="Times New Roman"/>
          <w:sz w:val="28"/>
          <w:szCs w:val="28"/>
        </w:rPr>
        <w:t xml:space="preserve"> il d.lgs. 118/2011 fa ampio uso (portando all’interno di un sistema contabile</w:t>
      </w:r>
      <w:r w:rsidR="000E3996">
        <w:rPr>
          <w:rFonts w:ascii="Times New Roman" w:hAnsi="Times New Roman" w:cs="Times New Roman"/>
          <w:sz w:val="28"/>
          <w:szCs w:val="28"/>
        </w:rPr>
        <w:t>,</w:t>
      </w:r>
      <w:r w:rsidRPr="006309F9">
        <w:rPr>
          <w:rFonts w:ascii="Times New Roman" w:hAnsi="Times New Roman" w:cs="Times New Roman"/>
          <w:sz w:val="28"/>
          <w:szCs w:val="28"/>
        </w:rPr>
        <w:t xml:space="preserve"> che rimane finanziario</w:t>
      </w:r>
      <w:r w:rsidR="000E3996">
        <w:rPr>
          <w:rFonts w:ascii="Times New Roman" w:hAnsi="Times New Roman" w:cs="Times New Roman"/>
          <w:sz w:val="28"/>
          <w:szCs w:val="28"/>
        </w:rPr>
        <w:t>,</w:t>
      </w:r>
      <w:r w:rsidRPr="006309F9">
        <w:rPr>
          <w:rFonts w:ascii="Times New Roman" w:hAnsi="Times New Roman" w:cs="Times New Roman"/>
          <w:sz w:val="28"/>
          <w:szCs w:val="28"/>
        </w:rPr>
        <w:t xml:space="preserve"> strumenti di rappresentazione della</w:t>
      </w:r>
      <w:r w:rsidR="00970E2C">
        <w:rPr>
          <w:rFonts w:ascii="Times New Roman" w:hAnsi="Times New Roman" w:cs="Times New Roman"/>
          <w:sz w:val="28"/>
          <w:szCs w:val="28"/>
        </w:rPr>
        <w:t>,</w:t>
      </w:r>
      <w:r w:rsidRPr="006309F9">
        <w:rPr>
          <w:rFonts w:ascii="Times New Roman" w:hAnsi="Times New Roman" w:cs="Times New Roman"/>
          <w:sz w:val="28"/>
          <w:szCs w:val="28"/>
        </w:rPr>
        <w:t xml:space="preserve"> reale</w:t>
      </w:r>
      <w:r w:rsidR="00970E2C">
        <w:rPr>
          <w:rFonts w:ascii="Times New Roman" w:hAnsi="Times New Roman" w:cs="Times New Roman"/>
          <w:sz w:val="28"/>
          <w:szCs w:val="28"/>
        </w:rPr>
        <w:t>,</w:t>
      </w:r>
      <w:r w:rsidRPr="006309F9">
        <w:rPr>
          <w:rFonts w:ascii="Times New Roman" w:hAnsi="Times New Roman" w:cs="Times New Roman"/>
          <w:sz w:val="28"/>
          <w:szCs w:val="28"/>
        </w:rPr>
        <w:t xml:space="preserve"> situazione di bilancio propri della contabilità economico-patrimoniale) costituiscono uno strumento contabile preordinato a garantire gli equilibri di bilancio attraverso la preventiva sterilizzazione di una certa quantità di risorse, necessarie a compensare eventuali sopravvenienze passive o insussistenze dell’attivo (per esempio, una sentenza di condanna al risarcimento di danni, la riscossione di entrate in misura inferiore agli accertamenti, etc.). La congrua previsione di dette poste è funzionale a fornire adeguata copertura al rischio sottostante</w:t>
      </w:r>
      <w:r w:rsidR="000E3996">
        <w:rPr>
          <w:rStyle w:val="Rimandonotaapidipagina"/>
          <w:rFonts w:ascii="Times New Roman" w:hAnsi="Times New Roman" w:cs="Times New Roman"/>
          <w:sz w:val="28"/>
          <w:szCs w:val="28"/>
        </w:rPr>
        <w:footnoteReference w:id="89"/>
      </w:r>
      <w:r w:rsidRPr="006309F9">
        <w:rPr>
          <w:rFonts w:ascii="Times New Roman" w:hAnsi="Times New Roman" w:cs="Times New Roman"/>
          <w:sz w:val="28"/>
          <w:szCs w:val="28"/>
        </w:rPr>
        <w:t>.</w:t>
      </w:r>
    </w:p>
    <w:p w14:paraId="1091A9ED" w14:textId="15A7FE2B" w:rsidR="00110AFC" w:rsidRPr="006309F9"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Oltre agli esaminati FCDE e FAL, le altre principali tipologie di fondi</w:t>
      </w:r>
      <w:r w:rsidR="00970E2C">
        <w:rPr>
          <w:rFonts w:ascii="Times New Roman" w:hAnsi="Times New Roman" w:cs="Times New Roman"/>
          <w:sz w:val="28"/>
          <w:szCs w:val="28"/>
        </w:rPr>
        <w:t>,</w:t>
      </w:r>
      <w:r w:rsidRPr="006309F9">
        <w:rPr>
          <w:rFonts w:ascii="Times New Roman" w:hAnsi="Times New Roman" w:cs="Times New Roman"/>
          <w:sz w:val="28"/>
          <w:szCs w:val="28"/>
        </w:rPr>
        <w:t xml:space="preserve"> per le quali è necessario o opportuno prevedere stanziamenti in sede di </w:t>
      </w:r>
      <w:r w:rsidR="000E3996">
        <w:rPr>
          <w:rFonts w:ascii="Times New Roman" w:hAnsi="Times New Roman" w:cs="Times New Roman"/>
          <w:sz w:val="28"/>
          <w:szCs w:val="28"/>
        </w:rPr>
        <w:t xml:space="preserve">bilancio di </w:t>
      </w:r>
      <w:r w:rsidRPr="006309F9">
        <w:rPr>
          <w:rFonts w:ascii="Times New Roman" w:hAnsi="Times New Roman" w:cs="Times New Roman"/>
          <w:sz w:val="28"/>
          <w:szCs w:val="28"/>
        </w:rPr>
        <w:t xml:space="preserve">previsione (o nel corso della gestione) sono il </w:t>
      </w:r>
      <w:r w:rsidR="00970E2C">
        <w:rPr>
          <w:rFonts w:ascii="Times New Roman" w:hAnsi="Times New Roman" w:cs="Times New Roman"/>
          <w:sz w:val="28"/>
          <w:szCs w:val="28"/>
        </w:rPr>
        <w:t>“</w:t>
      </w:r>
      <w:r w:rsidRPr="00C62821">
        <w:rPr>
          <w:rFonts w:ascii="Times New Roman" w:hAnsi="Times New Roman" w:cs="Times New Roman"/>
          <w:i/>
          <w:sz w:val="28"/>
          <w:szCs w:val="28"/>
        </w:rPr>
        <w:t>fondo di riserva per spese obbligatorie e impreviste</w:t>
      </w:r>
      <w:r w:rsidR="00970E2C">
        <w:rPr>
          <w:rFonts w:ascii="Times New Roman" w:hAnsi="Times New Roman" w:cs="Times New Roman"/>
          <w:sz w:val="28"/>
          <w:szCs w:val="28"/>
        </w:rPr>
        <w:t>”</w:t>
      </w:r>
      <w:r w:rsidRPr="006309F9">
        <w:rPr>
          <w:rStyle w:val="Rimandonotaapidipagina"/>
          <w:rFonts w:ascii="Times New Roman" w:hAnsi="Times New Roman" w:cs="Times New Roman"/>
          <w:sz w:val="28"/>
          <w:szCs w:val="28"/>
        </w:rPr>
        <w:footnoteReference w:id="90"/>
      </w:r>
      <w:r w:rsidRPr="006309F9">
        <w:rPr>
          <w:rFonts w:ascii="Times New Roman" w:hAnsi="Times New Roman" w:cs="Times New Roman"/>
          <w:sz w:val="28"/>
          <w:szCs w:val="28"/>
        </w:rPr>
        <w:t xml:space="preserve">, il </w:t>
      </w:r>
      <w:r w:rsidR="000E3996">
        <w:rPr>
          <w:rFonts w:ascii="Times New Roman" w:hAnsi="Times New Roman" w:cs="Times New Roman"/>
          <w:sz w:val="28"/>
          <w:szCs w:val="28"/>
        </w:rPr>
        <w:t>“</w:t>
      </w:r>
      <w:r w:rsidRPr="00C62821">
        <w:rPr>
          <w:rFonts w:ascii="Times New Roman" w:hAnsi="Times New Roman" w:cs="Times New Roman"/>
          <w:i/>
          <w:sz w:val="28"/>
          <w:szCs w:val="28"/>
        </w:rPr>
        <w:t>fondo contenziosi o per altre passività potenziali</w:t>
      </w:r>
      <w:r w:rsidR="000E3996">
        <w:rPr>
          <w:rFonts w:ascii="Times New Roman" w:hAnsi="Times New Roman" w:cs="Times New Roman"/>
          <w:sz w:val="28"/>
          <w:szCs w:val="28"/>
        </w:rPr>
        <w:t>”</w:t>
      </w:r>
      <w:r w:rsidRPr="006309F9">
        <w:rPr>
          <w:rFonts w:ascii="Times New Roman" w:hAnsi="Times New Roman" w:cs="Times New Roman"/>
          <w:sz w:val="28"/>
          <w:szCs w:val="28"/>
        </w:rPr>
        <w:t xml:space="preserve"> ed il </w:t>
      </w:r>
      <w:r w:rsidR="000E3996">
        <w:rPr>
          <w:rFonts w:ascii="Times New Roman" w:hAnsi="Times New Roman" w:cs="Times New Roman"/>
          <w:sz w:val="28"/>
          <w:szCs w:val="28"/>
        </w:rPr>
        <w:t>“</w:t>
      </w:r>
      <w:r w:rsidRPr="00C62821">
        <w:rPr>
          <w:rFonts w:ascii="Times New Roman" w:hAnsi="Times New Roman" w:cs="Times New Roman"/>
          <w:i/>
          <w:sz w:val="28"/>
          <w:szCs w:val="28"/>
        </w:rPr>
        <w:t>fondo perdite società partecipate</w:t>
      </w:r>
      <w:r w:rsidR="000E3996">
        <w:rPr>
          <w:rFonts w:ascii="Times New Roman" w:hAnsi="Times New Roman" w:cs="Times New Roman"/>
          <w:sz w:val="28"/>
          <w:szCs w:val="28"/>
        </w:rPr>
        <w:t>”</w:t>
      </w:r>
      <w:r w:rsidRPr="006309F9">
        <w:rPr>
          <w:rFonts w:ascii="Times New Roman" w:hAnsi="Times New Roman" w:cs="Times New Roman"/>
          <w:sz w:val="28"/>
          <w:szCs w:val="28"/>
        </w:rPr>
        <w:t>.</w:t>
      </w:r>
    </w:p>
    <w:p w14:paraId="05FA0C05" w14:textId="77689D82" w:rsidR="00BC7CD0" w:rsidRDefault="00970E2C" w:rsidP="006309F9">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Nello specifico, </w:t>
      </w:r>
      <w:r w:rsidRPr="00C62821">
        <w:rPr>
          <w:rFonts w:ascii="Times New Roman" w:hAnsi="Times New Roman" w:cs="Times New Roman"/>
          <w:sz w:val="28"/>
          <w:szCs w:val="28"/>
          <w:u w:val="single"/>
        </w:rPr>
        <w:t>i</w:t>
      </w:r>
      <w:r w:rsidR="00110AFC" w:rsidRPr="00C62821">
        <w:rPr>
          <w:rFonts w:ascii="Times New Roman" w:hAnsi="Times New Roman" w:cs="Times New Roman"/>
          <w:sz w:val="28"/>
          <w:szCs w:val="28"/>
          <w:u w:val="single"/>
        </w:rPr>
        <w:t>l fondo per far fronte a maggiori spese legate ad un contenzioso pendente o derivante da altre passività potenziali</w:t>
      </w:r>
      <w:r w:rsidR="00110AFC" w:rsidRPr="006309F9">
        <w:rPr>
          <w:rFonts w:ascii="Times New Roman" w:hAnsi="Times New Roman" w:cs="Times New Roman"/>
          <w:sz w:val="28"/>
          <w:szCs w:val="28"/>
        </w:rPr>
        <w:t xml:space="preserve"> (art. 167, comma 3, </w:t>
      </w:r>
      <w:r>
        <w:rPr>
          <w:rFonts w:ascii="Times New Roman" w:hAnsi="Times New Roman" w:cs="Times New Roman"/>
          <w:sz w:val="28"/>
          <w:szCs w:val="28"/>
        </w:rPr>
        <w:t>d.lgs. n. 267/2000; art. 46, comma 3, d.lgs. n. 118/2011</w:t>
      </w:r>
      <w:r w:rsidR="00110AFC" w:rsidRPr="006309F9">
        <w:rPr>
          <w:rFonts w:ascii="Times New Roman" w:hAnsi="Times New Roman" w:cs="Times New Roman"/>
          <w:sz w:val="28"/>
          <w:szCs w:val="28"/>
        </w:rPr>
        <w:t>) va accantonato in misura congrua rispetto a</w:t>
      </w:r>
      <w:r>
        <w:rPr>
          <w:rFonts w:ascii="Times New Roman" w:hAnsi="Times New Roman" w:cs="Times New Roman"/>
          <w:sz w:val="28"/>
          <w:szCs w:val="28"/>
        </w:rPr>
        <w:t>gli oneri stimati come necessari</w:t>
      </w:r>
      <w:r w:rsidR="00110AFC" w:rsidRPr="006309F9">
        <w:rPr>
          <w:rFonts w:ascii="Times New Roman" w:hAnsi="Times New Roman" w:cs="Times New Roman"/>
          <w:sz w:val="28"/>
          <w:szCs w:val="28"/>
        </w:rPr>
        <w:t xml:space="preserve"> per il futuro pagamento (seguendo le modalità previste dal Principio contabile applicato della contabilità finanziaria, All</w:t>
      </w:r>
      <w:r>
        <w:rPr>
          <w:rFonts w:ascii="Times New Roman" w:hAnsi="Times New Roman" w:cs="Times New Roman"/>
          <w:sz w:val="28"/>
          <w:szCs w:val="28"/>
        </w:rPr>
        <w:t>egato</w:t>
      </w:r>
      <w:r w:rsidR="00110AFC" w:rsidRPr="006309F9">
        <w:rPr>
          <w:rFonts w:ascii="Times New Roman" w:hAnsi="Times New Roman" w:cs="Times New Roman"/>
          <w:sz w:val="28"/>
          <w:szCs w:val="28"/>
        </w:rPr>
        <w:t xml:space="preserve"> 4/2 al d.lgs.118/2011, paragrafo 5.2</w:t>
      </w:r>
      <w:r w:rsidR="00473E77">
        <w:rPr>
          <w:rFonts w:ascii="Times New Roman" w:hAnsi="Times New Roman" w:cs="Times New Roman"/>
          <w:sz w:val="28"/>
          <w:szCs w:val="28"/>
        </w:rPr>
        <w:t xml:space="preserve">, lett. </w:t>
      </w:r>
      <w:r w:rsidR="00473E77" w:rsidRPr="00C62821">
        <w:rPr>
          <w:rFonts w:ascii="Times New Roman" w:hAnsi="Times New Roman" w:cs="Times New Roman"/>
          <w:i/>
          <w:sz w:val="28"/>
          <w:szCs w:val="28"/>
        </w:rPr>
        <w:t>h</w:t>
      </w:r>
      <w:r w:rsidR="00110AFC" w:rsidRPr="00C62821">
        <w:rPr>
          <w:rFonts w:ascii="Times New Roman" w:hAnsi="Times New Roman" w:cs="Times New Roman"/>
          <w:i/>
          <w:sz w:val="28"/>
          <w:szCs w:val="28"/>
        </w:rPr>
        <w:t>)</w:t>
      </w:r>
      <w:r w:rsidR="00110AFC" w:rsidRPr="006309F9">
        <w:rPr>
          <w:rStyle w:val="Rimandonotaapidipagina"/>
          <w:rFonts w:ascii="Times New Roman" w:hAnsi="Times New Roman" w:cs="Times New Roman"/>
          <w:sz w:val="28"/>
          <w:szCs w:val="28"/>
        </w:rPr>
        <w:footnoteReference w:id="91"/>
      </w:r>
      <w:r w:rsidR="00110AFC" w:rsidRPr="006309F9">
        <w:rPr>
          <w:rFonts w:ascii="Times New Roman" w:hAnsi="Times New Roman" w:cs="Times New Roman"/>
          <w:sz w:val="28"/>
          <w:szCs w:val="28"/>
        </w:rPr>
        <w:t>, e va monitorato nel cors</w:t>
      </w:r>
      <w:r>
        <w:rPr>
          <w:rFonts w:ascii="Times New Roman" w:hAnsi="Times New Roman" w:cs="Times New Roman"/>
          <w:sz w:val="28"/>
          <w:szCs w:val="28"/>
        </w:rPr>
        <w:t>o del tempo (al fine di valutarne</w:t>
      </w:r>
      <w:r w:rsidR="00110AFC" w:rsidRPr="006309F9">
        <w:rPr>
          <w:rFonts w:ascii="Times New Roman" w:hAnsi="Times New Roman" w:cs="Times New Roman"/>
          <w:sz w:val="28"/>
          <w:szCs w:val="28"/>
        </w:rPr>
        <w:t xml:space="preserve"> la persistente adeguatezza). </w:t>
      </w:r>
    </w:p>
    <w:p w14:paraId="16857779" w14:textId="77777777" w:rsidR="002A4FDA"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Come evidenziato da</w:t>
      </w:r>
      <w:r w:rsidR="000E3996">
        <w:rPr>
          <w:rFonts w:ascii="Times New Roman" w:hAnsi="Times New Roman" w:cs="Times New Roman"/>
          <w:sz w:val="28"/>
          <w:szCs w:val="28"/>
        </w:rPr>
        <w:t>lla Sezione delle Autonome della Corte dei conti (</w:t>
      </w:r>
      <w:r w:rsidRPr="006309F9">
        <w:rPr>
          <w:rFonts w:ascii="Times New Roman" w:hAnsi="Times New Roman" w:cs="Times New Roman"/>
          <w:sz w:val="28"/>
          <w:szCs w:val="28"/>
        </w:rPr>
        <w:t>deliberazione n. 9/</w:t>
      </w:r>
      <w:r w:rsidR="000E3996">
        <w:rPr>
          <w:rFonts w:ascii="Times New Roman" w:hAnsi="Times New Roman" w:cs="Times New Roman"/>
          <w:sz w:val="28"/>
          <w:szCs w:val="28"/>
        </w:rPr>
        <w:t>2016/</w:t>
      </w:r>
      <w:r w:rsidRPr="006309F9">
        <w:rPr>
          <w:rFonts w:ascii="Times New Roman" w:hAnsi="Times New Roman" w:cs="Times New Roman"/>
          <w:sz w:val="28"/>
          <w:szCs w:val="28"/>
        </w:rPr>
        <w:t>INPR</w:t>
      </w:r>
      <w:r w:rsidR="000E3996">
        <w:rPr>
          <w:rFonts w:ascii="Times New Roman" w:hAnsi="Times New Roman" w:cs="Times New Roman"/>
          <w:sz w:val="28"/>
          <w:szCs w:val="28"/>
        </w:rPr>
        <w:t>)</w:t>
      </w:r>
      <w:r w:rsidRPr="006309F9">
        <w:rPr>
          <w:rFonts w:ascii="Times New Roman" w:hAnsi="Times New Roman" w:cs="Times New Roman"/>
          <w:sz w:val="28"/>
          <w:szCs w:val="28"/>
        </w:rPr>
        <w:t>, essendo l’obbligazione passiva condizionata al verificarsi di un evento (l’esito del giudizi</w:t>
      </w:r>
      <w:r w:rsidR="00970E2C">
        <w:rPr>
          <w:rFonts w:ascii="Times New Roman" w:hAnsi="Times New Roman" w:cs="Times New Roman"/>
          <w:sz w:val="28"/>
          <w:szCs w:val="28"/>
        </w:rPr>
        <w:t>o), non è possibile impegnare una</w:t>
      </w:r>
      <w:r w:rsidRPr="006309F9">
        <w:rPr>
          <w:rFonts w:ascii="Times New Roman" w:hAnsi="Times New Roman" w:cs="Times New Roman"/>
          <w:sz w:val="28"/>
          <w:szCs w:val="28"/>
        </w:rPr>
        <w:t xml:space="preserve"> spesa, ma l’ente </w:t>
      </w:r>
      <w:r w:rsidR="000E3996">
        <w:rPr>
          <w:rFonts w:ascii="Times New Roman" w:hAnsi="Times New Roman" w:cs="Times New Roman"/>
          <w:sz w:val="28"/>
          <w:szCs w:val="28"/>
        </w:rPr>
        <w:t>territoriale</w:t>
      </w:r>
      <w:r w:rsidRPr="006309F9">
        <w:rPr>
          <w:rFonts w:ascii="Times New Roman" w:hAnsi="Times New Roman" w:cs="Times New Roman"/>
          <w:sz w:val="28"/>
          <w:szCs w:val="28"/>
        </w:rPr>
        <w:t xml:space="preserve"> è tenuto ad accantonare le risorse necessarie per il pagamento degli oneri stimati, accant</w:t>
      </w:r>
      <w:r w:rsidR="000E3996">
        <w:rPr>
          <w:rFonts w:ascii="Times New Roman" w:hAnsi="Times New Roman" w:cs="Times New Roman"/>
          <w:sz w:val="28"/>
          <w:szCs w:val="28"/>
        </w:rPr>
        <w:t>onando, nell’esercizio in cui è stato</w:t>
      </w:r>
      <w:r w:rsidRPr="006309F9">
        <w:rPr>
          <w:rFonts w:ascii="Times New Roman" w:hAnsi="Times New Roman" w:cs="Times New Roman"/>
          <w:sz w:val="28"/>
          <w:szCs w:val="28"/>
        </w:rPr>
        <w:t xml:space="preserve"> instaura</w:t>
      </w:r>
      <w:r w:rsidR="000E3996">
        <w:rPr>
          <w:rFonts w:ascii="Times New Roman" w:hAnsi="Times New Roman" w:cs="Times New Roman"/>
          <w:sz w:val="28"/>
          <w:szCs w:val="28"/>
        </w:rPr>
        <w:t>to</w:t>
      </w:r>
      <w:r w:rsidRPr="006309F9">
        <w:rPr>
          <w:rFonts w:ascii="Times New Roman" w:hAnsi="Times New Roman" w:cs="Times New Roman"/>
          <w:sz w:val="28"/>
          <w:szCs w:val="28"/>
        </w:rPr>
        <w:t xml:space="preserve"> il giudizio, le relative risorse, che, a fine esercizio (non essendo impegnabili), incrementano il risultato di amministrazione (con neutralizzazione a mezzo di contestuale evidenziazione di specifico fondo accantonato)</w:t>
      </w:r>
      <w:r w:rsidR="00473E77">
        <w:rPr>
          <w:rStyle w:val="Rimandonotaapidipagina"/>
          <w:rFonts w:ascii="Times New Roman" w:hAnsi="Times New Roman" w:cs="Times New Roman"/>
          <w:sz w:val="28"/>
          <w:szCs w:val="28"/>
        </w:rPr>
        <w:footnoteReference w:id="92"/>
      </w:r>
      <w:r w:rsidRPr="006309F9">
        <w:rPr>
          <w:rFonts w:ascii="Times New Roman" w:hAnsi="Times New Roman" w:cs="Times New Roman"/>
          <w:sz w:val="28"/>
          <w:szCs w:val="28"/>
        </w:rPr>
        <w:t>.</w:t>
      </w:r>
      <w:r w:rsidR="002A4FDA">
        <w:rPr>
          <w:rFonts w:ascii="Times New Roman" w:hAnsi="Times New Roman" w:cs="Times New Roman"/>
          <w:sz w:val="28"/>
          <w:szCs w:val="28"/>
        </w:rPr>
        <w:t xml:space="preserve"> Anche l</w:t>
      </w:r>
      <w:r w:rsidRPr="006309F9">
        <w:rPr>
          <w:rFonts w:ascii="Times New Roman" w:hAnsi="Times New Roman" w:cs="Times New Roman"/>
          <w:sz w:val="28"/>
          <w:szCs w:val="28"/>
        </w:rPr>
        <w:t xml:space="preserve">’organo di revisione ha l’onere di verificare la congruità degli accantonamenti e, soprattutto, di monitorarne nel tempo l’adeguatezza. </w:t>
      </w:r>
    </w:p>
    <w:p w14:paraId="3F309D79" w14:textId="46ED3E8D" w:rsidR="00110AFC" w:rsidRDefault="00110AFC"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 xml:space="preserve">Una delle cause degli squilibri strutturali del bilancio, in grado di provocare il dissesto finanziario, è rappresentata, infatti, specie per i comuni di minori dimensioni, da sentenze esecutive che determinano l’insorgere di (apparentemente) improvvisi oneri </w:t>
      </w:r>
      <w:r w:rsidR="00473E77">
        <w:rPr>
          <w:rFonts w:ascii="Times New Roman" w:hAnsi="Times New Roman" w:cs="Times New Roman"/>
          <w:sz w:val="28"/>
          <w:szCs w:val="28"/>
        </w:rPr>
        <w:t xml:space="preserve">finanziari </w:t>
      </w:r>
      <w:r w:rsidRPr="006309F9">
        <w:rPr>
          <w:rFonts w:ascii="Times New Roman" w:hAnsi="Times New Roman" w:cs="Times New Roman"/>
          <w:sz w:val="28"/>
          <w:szCs w:val="28"/>
        </w:rPr>
        <w:t>di rilevante entità (ed a cui il bilancio non riesce a dare copertura con le risorse disponibili nell’esercizio o nel successivo triennio, ex art. 193 TUEL)</w:t>
      </w:r>
      <w:r w:rsidRPr="006309F9">
        <w:rPr>
          <w:rStyle w:val="Rimandonotaapidipagina"/>
          <w:rFonts w:ascii="Times New Roman" w:hAnsi="Times New Roman" w:cs="Times New Roman"/>
          <w:sz w:val="28"/>
          <w:szCs w:val="28"/>
        </w:rPr>
        <w:footnoteReference w:id="93"/>
      </w:r>
      <w:r w:rsidRPr="006309F9">
        <w:rPr>
          <w:rFonts w:ascii="Times New Roman" w:hAnsi="Times New Roman" w:cs="Times New Roman"/>
          <w:sz w:val="28"/>
          <w:szCs w:val="28"/>
        </w:rPr>
        <w:t xml:space="preserve">.  </w:t>
      </w:r>
    </w:p>
    <w:p w14:paraId="529FE108" w14:textId="44752265" w:rsidR="002971B4" w:rsidRPr="002971B4" w:rsidRDefault="002971B4" w:rsidP="002971B4">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L</w:t>
      </w:r>
      <w:r w:rsidR="00473E77">
        <w:rPr>
          <w:rFonts w:ascii="Times New Roman" w:hAnsi="Times New Roman" w:cs="Times New Roman"/>
          <w:sz w:val="28"/>
          <w:szCs w:val="28"/>
        </w:rPr>
        <w:t>a lettera dell</w:t>
      </w:r>
      <w:r w:rsidRPr="002971B4">
        <w:rPr>
          <w:rFonts w:ascii="Times New Roman" w:hAnsi="Times New Roman" w:cs="Times New Roman"/>
          <w:sz w:val="28"/>
          <w:szCs w:val="28"/>
        </w:rPr>
        <w:t xml:space="preserve">’art. 167 TUEL, </w:t>
      </w:r>
      <w:r>
        <w:rPr>
          <w:rFonts w:ascii="Times New Roman" w:hAnsi="Times New Roman" w:cs="Times New Roman"/>
          <w:sz w:val="28"/>
          <w:szCs w:val="28"/>
        </w:rPr>
        <w:t>come integrato dal d.lgs. n. 126/2014</w:t>
      </w:r>
      <w:r>
        <w:rPr>
          <w:rStyle w:val="Rimandonotaapidipagina"/>
          <w:rFonts w:ascii="Times New Roman" w:hAnsi="Times New Roman" w:cs="Times New Roman"/>
          <w:sz w:val="28"/>
          <w:szCs w:val="28"/>
        </w:rPr>
        <w:footnoteReference w:id="94"/>
      </w:r>
      <w:r>
        <w:rPr>
          <w:rFonts w:ascii="Times New Roman" w:hAnsi="Times New Roman" w:cs="Times New Roman"/>
          <w:sz w:val="28"/>
          <w:szCs w:val="28"/>
        </w:rPr>
        <w:t xml:space="preserve"> </w:t>
      </w:r>
      <w:r w:rsidRPr="002971B4">
        <w:rPr>
          <w:rFonts w:ascii="Times New Roman" w:hAnsi="Times New Roman" w:cs="Times New Roman"/>
          <w:sz w:val="28"/>
          <w:szCs w:val="28"/>
        </w:rPr>
        <w:t>accorda</w:t>
      </w:r>
      <w:r>
        <w:rPr>
          <w:rFonts w:ascii="Times New Roman" w:hAnsi="Times New Roman" w:cs="Times New Roman"/>
          <w:sz w:val="28"/>
          <w:szCs w:val="28"/>
        </w:rPr>
        <w:t xml:space="preserve"> </w:t>
      </w:r>
      <w:r w:rsidR="00473E77">
        <w:rPr>
          <w:rFonts w:ascii="Times New Roman" w:hAnsi="Times New Roman" w:cs="Times New Roman"/>
          <w:sz w:val="28"/>
          <w:szCs w:val="28"/>
        </w:rPr>
        <w:t xml:space="preserve">agli enti locali </w:t>
      </w:r>
      <w:r w:rsidRPr="002971B4">
        <w:rPr>
          <w:rFonts w:ascii="Times New Roman" w:hAnsi="Times New Roman" w:cs="Times New Roman"/>
          <w:sz w:val="28"/>
          <w:szCs w:val="28"/>
        </w:rPr>
        <w:t xml:space="preserve">la mera </w:t>
      </w:r>
      <w:r w:rsidRPr="00C62821">
        <w:rPr>
          <w:rFonts w:ascii="Times New Roman" w:hAnsi="Times New Roman" w:cs="Times New Roman"/>
          <w:sz w:val="28"/>
          <w:szCs w:val="28"/>
          <w:u w:val="single"/>
        </w:rPr>
        <w:t>facoltà di stanziare “</w:t>
      </w:r>
      <w:r w:rsidRPr="00C62821">
        <w:rPr>
          <w:rFonts w:ascii="Times New Roman" w:hAnsi="Times New Roman" w:cs="Times New Roman"/>
          <w:i/>
          <w:sz w:val="28"/>
          <w:szCs w:val="28"/>
          <w:u w:val="single"/>
        </w:rPr>
        <w:t>ulteriori accantonamenti riguardanti passività potenziali, sui quali non è possibile impegnare e pagare</w:t>
      </w:r>
      <w:r w:rsidRPr="00B839C5">
        <w:rPr>
          <w:rFonts w:ascii="Times New Roman" w:hAnsi="Times New Roman" w:cs="Times New Roman"/>
          <w:sz w:val="28"/>
          <w:szCs w:val="28"/>
        </w:rPr>
        <w:t>”</w:t>
      </w:r>
      <w:r w:rsidRPr="002971B4">
        <w:rPr>
          <w:rFonts w:ascii="Times New Roman" w:hAnsi="Times New Roman" w:cs="Times New Roman"/>
          <w:sz w:val="28"/>
          <w:szCs w:val="28"/>
        </w:rPr>
        <w:t>.</w:t>
      </w:r>
      <w:r>
        <w:rPr>
          <w:rFonts w:ascii="Times New Roman" w:hAnsi="Times New Roman" w:cs="Times New Roman"/>
          <w:sz w:val="28"/>
          <w:szCs w:val="28"/>
        </w:rPr>
        <w:t xml:space="preserve"> Invece, il P</w:t>
      </w:r>
      <w:r w:rsidRPr="002971B4">
        <w:rPr>
          <w:rFonts w:ascii="Times New Roman" w:hAnsi="Times New Roman" w:cs="Times New Roman"/>
          <w:sz w:val="28"/>
          <w:szCs w:val="28"/>
        </w:rPr>
        <w:t>rincipi</w:t>
      </w:r>
      <w:r>
        <w:rPr>
          <w:rFonts w:ascii="Times New Roman" w:hAnsi="Times New Roman" w:cs="Times New Roman"/>
          <w:sz w:val="28"/>
          <w:szCs w:val="28"/>
        </w:rPr>
        <w:t>o contabile applicato della</w:t>
      </w:r>
      <w:r w:rsidRPr="002971B4">
        <w:rPr>
          <w:rFonts w:ascii="Times New Roman" w:hAnsi="Times New Roman" w:cs="Times New Roman"/>
          <w:sz w:val="28"/>
          <w:szCs w:val="28"/>
        </w:rPr>
        <w:t xml:space="preserve"> contabilità finanziaria</w:t>
      </w:r>
      <w:r>
        <w:rPr>
          <w:rFonts w:ascii="Times New Roman" w:hAnsi="Times New Roman" w:cs="Times New Roman"/>
          <w:sz w:val="28"/>
          <w:szCs w:val="28"/>
        </w:rPr>
        <w:t xml:space="preserve">, allegato 4/2 al d.lgs. </w:t>
      </w:r>
      <w:r w:rsidRPr="002971B4">
        <w:rPr>
          <w:rFonts w:ascii="Times New Roman" w:hAnsi="Times New Roman" w:cs="Times New Roman"/>
          <w:sz w:val="28"/>
          <w:szCs w:val="28"/>
        </w:rPr>
        <w:t>n. 118</w:t>
      </w:r>
      <w:r>
        <w:rPr>
          <w:rFonts w:ascii="Times New Roman" w:hAnsi="Times New Roman" w:cs="Times New Roman"/>
          <w:sz w:val="28"/>
          <w:szCs w:val="28"/>
        </w:rPr>
        <w:t>/2011 (inserito dal medesimo d.lgs. n. 126/2014)</w:t>
      </w:r>
      <w:r w:rsidRPr="002971B4">
        <w:rPr>
          <w:rFonts w:ascii="Times New Roman" w:hAnsi="Times New Roman" w:cs="Times New Roman"/>
          <w:sz w:val="28"/>
          <w:szCs w:val="28"/>
        </w:rPr>
        <w:t xml:space="preserve">, </w:t>
      </w:r>
      <w:r>
        <w:rPr>
          <w:rFonts w:ascii="Times New Roman" w:hAnsi="Times New Roman" w:cs="Times New Roman"/>
          <w:sz w:val="28"/>
          <w:szCs w:val="28"/>
        </w:rPr>
        <w:t xml:space="preserve">al </w:t>
      </w:r>
      <w:r w:rsidRPr="002971B4">
        <w:rPr>
          <w:rFonts w:ascii="Times New Roman" w:hAnsi="Times New Roman" w:cs="Times New Roman"/>
          <w:sz w:val="28"/>
          <w:szCs w:val="28"/>
        </w:rPr>
        <w:t>punto 5.2</w:t>
      </w:r>
      <w:r>
        <w:rPr>
          <w:rFonts w:ascii="Times New Roman" w:hAnsi="Times New Roman" w:cs="Times New Roman"/>
          <w:sz w:val="28"/>
          <w:szCs w:val="28"/>
        </w:rPr>
        <w:t xml:space="preserve">, </w:t>
      </w:r>
      <w:r w:rsidRPr="00C62821">
        <w:rPr>
          <w:rFonts w:ascii="Times New Roman" w:hAnsi="Times New Roman" w:cs="Times New Roman"/>
          <w:sz w:val="28"/>
          <w:szCs w:val="28"/>
          <w:u w:val="single"/>
        </w:rPr>
        <w:t>si esprime in termini di obbligo</w:t>
      </w:r>
      <w:r>
        <w:rPr>
          <w:rStyle w:val="Rimandonotaapidipagina"/>
          <w:rFonts w:ascii="Times New Roman" w:hAnsi="Times New Roman" w:cs="Times New Roman"/>
          <w:sz w:val="28"/>
          <w:szCs w:val="28"/>
        </w:rPr>
        <w:footnoteReference w:id="95"/>
      </w:r>
      <w:r w:rsidRPr="002971B4">
        <w:rPr>
          <w:rFonts w:ascii="Times New Roman" w:hAnsi="Times New Roman" w:cs="Times New Roman"/>
          <w:sz w:val="28"/>
          <w:szCs w:val="28"/>
        </w:rPr>
        <w:t>.</w:t>
      </w:r>
    </w:p>
    <w:p w14:paraId="4DD5A8DE" w14:textId="5C92B8DA" w:rsidR="002971B4" w:rsidRPr="002971B4" w:rsidRDefault="002971B4" w:rsidP="002971B4">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Per superare l</w:t>
      </w:r>
      <w:r w:rsidR="00A0589A">
        <w:rPr>
          <w:rFonts w:ascii="Times New Roman" w:hAnsi="Times New Roman" w:cs="Times New Roman"/>
          <w:sz w:val="28"/>
          <w:szCs w:val="28"/>
        </w:rPr>
        <w:t xml:space="preserve">’esposta </w:t>
      </w:r>
      <w:r w:rsidRPr="002971B4">
        <w:rPr>
          <w:rFonts w:ascii="Times New Roman" w:hAnsi="Times New Roman" w:cs="Times New Roman"/>
          <w:sz w:val="28"/>
          <w:szCs w:val="28"/>
        </w:rPr>
        <w:t>contraddizione</w:t>
      </w:r>
      <w:r>
        <w:rPr>
          <w:rFonts w:ascii="Times New Roman" w:hAnsi="Times New Roman" w:cs="Times New Roman"/>
          <w:sz w:val="28"/>
          <w:szCs w:val="28"/>
        </w:rPr>
        <w:t>, la magistratura contabile</w:t>
      </w:r>
      <w:r>
        <w:rPr>
          <w:rStyle w:val="Rimandonotaapidipagina"/>
          <w:rFonts w:ascii="Times New Roman" w:hAnsi="Times New Roman" w:cs="Times New Roman"/>
          <w:sz w:val="28"/>
          <w:szCs w:val="28"/>
        </w:rPr>
        <w:footnoteReference w:id="96"/>
      </w:r>
      <w:r>
        <w:rPr>
          <w:rFonts w:ascii="Times New Roman" w:hAnsi="Times New Roman" w:cs="Times New Roman"/>
          <w:sz w:val="28"/>
          <w:szCs w:val="28"/>
        </w:rPr>
        <w:t xml:space="preserve"> </w:t>
      </w:r>
      <w:r w:rsidR="00A94B0B">
        <w:rPr>
          <w:rFonts w:ascii="Times New Roman" w:hAnsi="Times New Roman" w:cs="Times New Roman"/>
          <w:sz w:val="28"/>
          <w:szCs w:val="28"/>
        </w:rPr>
        <w:t xml:space="preserve">ha </w:t>
      </w:r>
      <w:r w:rsidRPr="002971B4">
        <w:rPr>
          <w:rFonts w:ascii="Times New Roman" w:hAnsi="Times New Roman" w:cs="Times New Roman"/>
          <w:sz w:val="28"/>
          <w:szCs w:val="28"/>
        </w:rPr>
        <w:t>riten</w:t>
      </w:r>
      <w:r w:rsidR="00A94B0B">
        <w:rPr>
          <w:rFonts w:ascii="Times New Roman" w:hAnsi="Times New Roman" w:cs="Times New Roman"/>
          <w:sz w:val="28"/>
          <w:szCs w:val="28"/>
        </w:rPr>
        <w:t xml:space="preserve">uto </w:t>
      </w:r>
      <w:r w:rsidRPr="002971B4">
        <w:rPr>
          <w:rFonts w:ascii="Times New Roman" w:hAnsi="Times New Roman" w:cs="Times New Roman"/>
          <w:sz w:val="28"/>
          <w:szCs w:val="28"/>
        </w:rPr>
        <w:t xml:space="preserve">operante il </w:t>
      </w:r>
      <w:r w:rsidR="00A94B0B">
        <w:rPr>
          <w:rFonts w:ascii="Times New Roman" w:hAnsi="Times New Roman" w:cs="Times New Roman"/>
          <w:sz w:val="28"/>
          <w:szCs w:val="28"/>
        </w:rPr>
        <w:t>“</w:t>
      </w:r>
      <w:r w:rsidRPr="00A0589A">
        <w:rPr>
          <w:rFonts w:ascii="Times New Roman" w:hAnsi="Times New Roman" w:cs="Times New Roman"/>
          <w:i/>
          <w:iCs/>
          <w:sz w:val="28"/>
          <w:szCs w:val="28"/>
        </w:rPr>
        <w:t>principio di specialità</w:t>
      </w:r>
      <w:r w:rsidR="00A94B0B">
        <w:rPr>
          <w:rFonts w:ascii="Times New Roman" w:hAnsi="Times New Roman" w:cs="Times New Roman"/>
          <w:sz w:val="28"/>
          <w:szCs w:val="28"/>
        </w:rPr>
        <w:t>”</w:t>
      </w:r>
      <w:r w:rsidRPr="002971B4">
        <w:rPr>
          <w:rFonts w:ascii="Times New Roman" w:hAnsi="Times New Roman" w:cs="Times New Roman"/>
          <w:sz w:val="28"/>
          <w:szCs w:val="28"/>
        </w:rPr>
        <w:t xml:space="preserve">, in base al quale </w:t>
      </w:r>
      <w:r w:rsidRPr="0034269D">
        <w:rPr>
          <w:rFonts w:ascii="Times New Roman" w:hAnsi="Times New Roman" w:cs="Times New Roman"/>
          <w:sz w:val="28"/>
          <w:szCs w:val="28"/>
          <w:u w:val="single"/>
        </w:rPr>
        <w:t>il punto 5.2.</w:t>
      </w:r>
      <w:r w:rsidR="00A94B0B" w:rsidRPr="0034269D">
        <w:rPr>
          <w:rFonts w:ascii="Times New Roman" w:hAnsi="Times New Roman" w:cs="Times New Roman"/>
          <w:sz w:val="28"/>
          <w:szCs w:val="28"/>
          <w:u w:val="single"/>
        </w:rPr>
        <w:t xml:space="preserve"> del Principio contabile</w:t>
      </w:r>
      <w:r w:rsidRPr="0034269D">
        <w:rPr>
          <w:rFonts w:ascii="Times New Roman" w:hAnsi="Times New Roman" w:cs="Times New Roman"/>
          <w:sz w:val="28"/>
          <w:szCs w:val="28"/>
          <w:u w:val="single"/>
        </w:rPr>
        <w:t xml:space="preserve"> </w:t>
      </w:r>
      <w:r w:rsidR="00473E77" w:rsidRPr="0034269D">
        <w:rPr>
          <w:rFonts w:ascii="Times New Roman" w:hAnsi="Times New Roman" w:cs="Times New Roman"/>
          <w:sz w:val="28"/>
          <w:szCs w:val="28"/>
          <w:u w:val="single"/>
        </w:rPr>
        <w:t>riguarderebbe,</w:t>
      </w:r>
      <w:r w:rsidRPr="0034269D">
        <w:rPr>
          <w:rFonts w:ascii="Times New Roman" w:hAnsi="Times New Roman" w:cs="Times New Roman"/>
          <w:sz w:val="28"/>
          <w:szCs w:val="28"/>
          <w:u w:val="single"/>
        </w:rPr>
        <w:t xml:space="preserve"> specificamente</w:t>
      </w:r>
      <w:r w:rsidR="00473E77" w:rsidRPr="0034269D">
        <w:rPr>
          <w:rFonts w:ascii="Times New Roman" w:hAnsi="Times New Roman" w:cs="Times New Roman"/>
          <w:sz w:val="28"/>
          <w:szCs w:val="28"/>
          <w:u w:val="single"/>
        </w:rPr>
        <w:t>,</w:t>
      </w:r>
      <w:r w:rsidRPr="0034269D">
        <w:rPr>
          <w:rFonts w:ascii="Times New Roman" w:hAnsi="Times New Roman" w:cs="Times New Roman"/>
          <w:sz w:val="28"/>
          <w:szCs w:val="28"/>
          <w:u w:val="single"/>
        </w:rPr>
        <w:t xml:space="preserve"> il fondo rischi </w:t>
      </w:r>
      <w:r w:rsidR="00A94B0B" w:rsidRPr="0034269D">
        <w:rPr>
          <w:rFonts w:ascii="Times New Roman" w:hAnsi="Times New Roman" w:cs="Times New Roman"/>
          <w:sz w:val="28"/>
          <w:szCs w:val="28"/>
          <w:u w:val="single"/>
        </w:rPr>
        <w:t xml:space="preserve">per </w:t>
      </w:r>
      <w:r w:rsidRPr="0034269D">
        <w:rPr>
          <w:rFonts w:ascii="Times New Roman" w:hAnsi="Times New Roman" w:cs="Times New Roman"/>
          <w:sz w:val="28"/>
          <w:szCs w:val="28"/>
          <w:u w:val="single"/>
        </w:rPr>
        <w:t>contenzioso</w:t>
      </w:r>
      <w:r w:rsidR="00A94B0B">
        <w:rPr>
          <w:rFonts w:ascii="Times New Roman" w:hAnsi="Times New Roman" w:cs="Times New Roman"/>
          <w:sz w:val="28"/>
          <w:szCs w:val="28"/>
        </w:rPr>
        <w:t>, mentre</w:t>
      </w:r>
      <w:r w:rsidRPr="002971B4">
        <w:rPr>
          <w:rFonts w:ascii="Times New Roman" w:hAnsi="Times New Roman" w:cs="Times New Roman"/>
          <w:sz w:val="28"/>
          <w:szCs w:val="28"/>
        </w:rPr>
        <w:t xml:space="preserve"> l’art. 167 TUEL</w:t>
      </w:r>
      <w:r w:rsidR="00473E77">
        <w:rPr>
          <w:rFonts w:ascii="Times New Roman" w:hAnsi="Times New Roman" w:cs="Times New Roman"/>
          <w:sz w:val="28"/>
          <w:szCs w:val="28"/>
        </w:rPr>
        <w:t xml:space="preserve"> (come</w:t>
      </w:r>
      <w:r w:rsidR="00A94B0B">
        <w:rPr>
          <w:rFonts w:ascii="Times New Roman" w:hAnsi="Times New Roman" w:cs="Times New Roman"/>
          <w:sz w:val="28"/>
          <w:szCs w:val="28"/>
        </w:rPr>
        <w:t xml:space="preserve"> l’art. 46, comma 3, del d.lgs. n. 118/2011</w:t>
      </w:r>
      <w:r w:rsidR="00473E77">
        <w:rPr>
          <w:rFonts w:ascii="Times New Roman" w:hAnsi="Times New Roman" w:cs="Times New Roman"/>
          <w:sz w:val="28"/>
          <w:szCs w:val="28"/>
        </w:rPr>
        <w:t>, per le regioni</w:t>
      </w:r>
      <w:r w:rsidR="00A94B0B">
        <w:rPr>
          <w:rFonts w:ascii="Times New Roman" w:hAnsi="Times New Roman" w:cs="Times New Roman"/>
          <w:sz w:val="28"/>
          <w:szCs w:val="28"/>
        </w:rPr>
        <w:t>)</w:t>
      </w:r>
      <w:r w:rsidRPr="002971B4">
        <w:rPr>
          <w:rFonts w:ascii="Times New Roman" w:hAnsi="Times New Roman" w:cs="Times New Roman"/>
          <w:sz w:val="28"/>
          <w:szCs w:val="28"/>
        </w:rPr>
        <w:t xml:space="preserve"> </w:t>
      </w:r>
      <w:r w:rsidR="00473E77">
        <w:rPr>
          <w:rFonts w:ascii="Times New Roman" w:hAnsi="Times New Roman" w:cs="Times New Roman"/>
          <w:sz w:val="28"/>
          <w:szCs w:val="28"/>
        </w:rPr>
        <w:t xml:space="preserve">costituirebbe una </w:t>
      </w:r>
      <w:r w:rsidR="00A94B0B">
        <w:rPr>
          <w:rFonts w:ascii="Times New Roman" w:hAnsi="Times New Roman" w:cs="Times New Roman"/>
          <w:sz w:val="28"/>
          <w:szCs w:val="28"/>
        </w:rPr>
        <w:t>disposizione</w:t>
      </w:r>
      <w:r w:rsidRPr="002971B4">
        <w:rPr>
          <w:rFonts w:ascii="Times New Roman" w:hAnsi="Times New Roman" w:cs="Times New Roman"/>
          <w:sz w:val="28"/>
          <w:szCs w:val="28"/>
        </w:rPr>
        <w:t xml:space="preserve"> generale, </w:t>
      </w:r>
      <w:r w:rsidR="00473E77">
        <w:rPr>
          <w:rFonts w:ascii="Times New Roman" w:hAnsi="Times New Roman" w:cs="Times New Roman"/>
          <w:sz w:val="28"/>
          <w:szCs w:val="28"/>
        </w:rPr>
        <w:t xml:space="preserve">che </w:t>
      </w:r>
      <w:r w:rsidRPr="002971B4">
        <w:rPr>
          <w:rFonts w:ascii="Times New Roman" w:hAnsi="Times New Roman" w:cs="Times New Roman"/>
          <w:sz w:val="28"/>
          <w:szCs w:val="28"/>
        </w:rPr>
        <w:t xml:space="preserve">prevede la facoltà di accantonare somme in </w:t>
      </w:r>
      <w:r w:rsidR="00473E77">
        <w:rPr>
          <w:rFonts w:ascii="Times New Roman" w:hAnsi="Times New Roman" w:cs="Times New Roman"/>
          <w:sz w:val="28"/>
          <w:szCs w:val="28"/>
        </w:rPr>
        <w:t xml:space="preserve">appositi </w:t>
      </w:r>
      <w:r w:rsidRPr="002971B4">
        <w:rPr>
          <w:rFonts w:ascii="Times New Roman" w:hAnsi="Times New Roman" w:cs="Times New Roman"/>
          <w:sz w:val="28"/>
          <w:szCs w:val="28"/>
        </w:rPr>
        <w:t>fondi</w:t>
      </w:r>
      <w:r w:rsidR="00A94B0B">
        <w:rPr>
          <w:rFonts w:ascii="Times New Roman" w:hAnsi="Times New Roman" w:cs="Times New Roman"/>
          <w:sz w:val="28"/>
          <w:szCs w:val="28"/>
        </w:rPr>
        <w:t>,</w:t>
      </w:r>
      <w:r w:rsidRPr="002971B4">
        <w:rPr>
          <w:rFonts w:ascii="Times New Roman" w:hAnsi="Times New Roman" w:cs="Times New Roman"/>
          <w:sz w:val="28"/>
          <w:szCs w:val="28"/>
        </w:rPr>
        <w:t xml:space="preserve"> </w:t>
      </w:r>
      <w:r w:rsidR="00473E77">
        <w:rPr>
          <w:rFonts w:ascii="Times New Roman" w:hAnsi="Times New Roman" w:cs="Times New Roman"/>
          <w:sz w:val="28"/>
          <w:szCs w:val="28"/>
        </w:rPr>
        <w:t xml:space="preserve">tuttavia </w:t>
      </w:r>
      <w:r w:rsidRPr="002971B4">
        <w:rPr>
          <w:rFonts w:ascii="Times New Roman" w:hAnsi="Times New Roman" w:cs="Times New Roman"/>
          <w:sz w:val="28"/>
          <w:szCs w:val="28"/>
        </w:rPr>
        <w:t>necessariamente diversi dal</w:t>
      </w:r>
      <w:r w:rsidR="00473E77">
        <w:rPr>
          <w:rFonts w:ascii="Times New Roman" w:hAnsi="Times New Roman" w:cs="Times New Roman"/>
          <w:sz w:val="28"/>
          <w:szCs w:val="28"/>
        </w:rPr>
        <w:t>l’obbligatorio</w:t>
      </w:r>
      <w:r w:rsidRPr="002971B4">
        <w:rPr>
          <w:rFonts w:ascii="Times New Roman" w:hAnsi="Times New Roman" w:cs="Times New Roman"/>
          <w:sz w:val="28"/>
          <w:szCs w:val="28"/>
        </w:rPr>
        <w:t xml:space="preserve"> </w:t>
      </w:r>
      <w:r w:rsidR="00473E77">
        <w:rPr>
          <w:rFonts w:ascii="Times New Roman" w:hAnsi="Times New Roman" w:cs="Times New Roman"/>
          <w:sz w:val="28"/>
          <w:szCs w:val="28"/>
        </w:rPr>
        <w:t>“</w:t>
      </w:r>
      <w:r w:rsidRPr="00446B7E">
        <w:rPr>
          <w:rFonts w:ascii="Times New Roman" w:hAnsi="Times New Roman" w:cs="Times New Roman"/>
          <w:i/>
          <w:iCs/>
          <w:sz w:val="28"/>
          <w:szCs w:val="28"/>
        </w:rPr>
        <w:t xml:space="preserve">fondo rischi </w:t>
      </w:r>
      <w:r w:rsidR="00473E77" w:rsidRPr="00446B7E">
        <w:rPr>
          <w:rFonts w:ascii="Times New Roman" w:hAnsi="Times New Roman" w:cs="Times New Roman"/>
          <w:i/>
          <w:iCs/>
          <w:sz w:val="28"/>
          <w:szCs w:val="28"/>
        </w:rPr>
        <w:t xml:space="preserve">per </w:t>
      </w:r>
      <w:r w:rsidRPr="00446B7E">
        <w:rPr>
          <w:rFonts w:ascii="Times New Roman" w:hAnsi="Times New Roman" w:cs="Times New Roman"/>
          <w:i/>
          <w:iCs/>
          <w:sz w:val="28"/>
          <w:szCs w:val="28"/>
        </w:rPr>
        <w:t>contenzioso</w:t>
      </w:r>
      <w:r w:rsidR="00473E77">
        <w:rPr>
          <w:rFonts w:ascii="Times New Roman" w:hAnsi="Times New Roman" w:cs="Times New Roman"/>
          <w:sz w:val="28"/>
          <w:szCs w:val="28"/>
        </w:rPr>
        <w:t>”</w:t>
      </w:r>
      <w:r w:rsidRPr="002971B4">
        <w:rPr>
          <w:rFonts w:ascii="Times New Roman" w:hAnsi="Times New Roman" w:cs="Times New Roman"/>
          <w:sz w:val="28"/>
          <w:szCs w:val="28"/>
        </w:rPr>
        <w:t xml:space="preserve">. </w:t>
      </w:r>
    </w:p>
    <w:p w14:paraId="549E896A" w14:textId="51DC187D" w:rsidR="00937067" w:rsidRDefault="000A0F8D" w:rsidP="00937067">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Fra i ridetti f</w:t>
      </w:r>
      <w:r w:rsidR="00110AFC" w:rsidRPr="006309F9">
        <w:rPr>
          <w:rFonts w:ascii="Times New Roman" w:hAnsi="Times New Roman" w:cs="Times New Roman"/>
          <w:sz w:val="28"/>
          <w:szCs w:val="28"/>
        </w:rPr>
        <w:t>ondi</w:t>
      </w:r>
      <w:r>
        <w:rPr>
          <w:rFonts w:ascii="Times New Roman" w:hAnsi="Times New Roman" w:cs="Times New Roman"/>
          <w:sz w:val="28"/>
          <w:szCs w:val="28"/>
        </w:rPr>
        <w:t>, che</w:t>
      </w:r>
      <w:r w:rsidR="00110AFC" w:rsidRPr="006309F9">
        <w:rPr>
          <w:rFonts w:ascii="Times New Roman" w:hAnsi="Times New Roman" w:cs="Times New Roman"/>
          <w:sz w:val="28"/>
          <w:szCs w:val="28"/>
        </w:rPr>
        <w:t xml:space="preserve"> possono (o devono) essere accantonati per fare fronte a</w:t>
      </w:r>
      <w:r>
        <w:rPr>
          <w:rFonts w:ascii="Times New Roman" w:hAnsi="Times New Roman" w:cs="Times New Roman"/>
          <w:sz w:val="28"/>
          <w:szCs w:val="28"/>
        </w:rPr>
        <w:t>d analoghe passività potenziali,</w:t>
      </w:r>
      <w:r w:rsidR="00110AFC" w:rsidRPr="006309F9">
        <w:rPr>
          <w:rFonts w:ascii="Times New Roman" w:hAnsi="Times New Roman" w:cs="Times New Roman"/>
          <w:sz w:val="28"/>
          <w:szCs w:val="28"/>
        </w:rPr>
        <w:t xml:space="preserve"> </w:t>
      </w:r>
      <w:r>
        <w:rPr>
          <w:rFonts w:ascii="Times New Roman" w:hAnsi="Times New Roman" w:cs="Times New Roman"/>
          <w:sz w:val="28"/>
          <w:szCs w:val="28"/>
        </w:rPr>
        <w:t>u</w:t>
      </w:r>
      <w:r w:rsidR="00110AFC" w:rsidRPr="006309F9">
        <w:rPr>
          <w:rFonts w:ascii="Times New Roman" w:hAnsi="Times New Roman" w:cs="Times New Roman"/>
          <w:sz w:val="28"/>
          <w:szCs w:val="28"/>
        </w:rPr>
        <w:t>n esempio normato (Principio contabile applicato, All</w:t>
      </w:r>
      <w:r>
        <w:rPr>
          <w:rFonts w:ascii="Times New Roman" w:hAnsi="Times New Roman" w:cs="Times New Roman"/>
          <w:sz w:val="28"/>
          <w:szCs w:val="28"/>
        </w:rPr>
        <w:t>egato</w:t>
      </w:r>
      <w:r w:rsidR="00110AFC" w:rsidRPr="006309F9">
        <w:rPr>
          <w:rFonts w:ascii="Times New Roman" w:hAnsi="Times New Roman" w:cs="Times New Roman"/>
          <w:sz w:val="28"/>
          <w:szCs w:val="28"/>
        </w:rPr>
        <w:t xml:space="preserve"> 4/2 al </w:t>
      </w:r>
      <w:r>
        <w:rPr>
          <w:rFonts w:ascii="Times New Roman" w:hAnsi="Times New Roman" w:cs="Times New Roman"/>
          <w:sz w:val="28"/>
          <w:szCs w:val="28"/>
        </w:rPr>
        <w:t>d.lgs. 118/2011, paragrafo 5.5)</w:t>
      </w:r>
      <w:r w:rsidR="00110AFC" w:rsidRPr="006309F9">
        <w:rPr>
          <w:rFonts w:ascii="Times New Roman" w:hAnsi="Times New Roman" w:cs="Times New Roman"/>
          <w:sz w:val="28"/>
          <w:szCs w:val="28"/>
        </w:rPr>
        <w:t xml:space="preserve"> è costituito dall’</w:t>
      </w:r>
      <w:r w:rsidR="00110AFC" w:rsidRPr="0034269D">
        <w:rPr>
          <w:rFonts w:ascii="Times New Roman" w:hAnsi="Times New Roman" w:cs="Times New Roman"/>
          <w:sz w:val="28"/>
          <w:szCs w:val="28"/>
          <w:u w:val="single"/>
        </w:rPr>
        <w:t xml:space="preserve">accantonamento </w:t>
      </w:r>
      <w:r w:rsidRPr="0034269D">
        <w:rPr>
          <w:rFonts w:ascii="Times New Roman" w:hAnsi="Times New Roman" w:cs="Times New Roman"/>
          <w:sz w:val="28"/>
          <w:szCs w:val="28"/>
          <w:u w:val="single"/>
        </w:rPr>
        <w:t>funzionale</w:t>
      </w:r>
      <w:r w:rsidR="00110AFC" w:rsidRPr="0034269D">
        <w:rPr>
          <w:rFonts w:ascii="Times New Roman" w:hAnsi="Times New Roman" w:cs="Times New Roman"/>
          <w:sz w:val="28"/>
          <w:szCs w:val="28"/>
          <w:u w:val="single"/>
        </w:rPr>
        <w:t xml:space="preserve"> a prevenire il rischio di escussione di una garanzia personale</w:t>
      </w:r>
      <w:r>
        <w:rPr>
          <w:rFonts w:ascii="Times New Roman" w:hAnsi="Times New Roman" w:cs="Times New Roman"/>
          <w:sz w:val="28"/>
          <w:szCs w:val="28"/>
        </w:rPr>
        <w:t>,</w:t>
      </w:r>
      <w:r w:rsidR="00110AFC" w:rsidRPr="006309F9">
        <w:rPr>
          <w:rFonts w:ascii="Times New Roman" w:hAnsi="Times New Roman" w:cs="Times New Roman"/>
          <w:sz w:val="28"/>
          <w:szCs w:val="28"/>
        </w:rPr>
        <w:t xml:space="preserve"> prestata a favore società partecipate, altri organismi strumentali o soggetti terzi predeterminati (art. 207 </w:t>
      </w:r>
      <w:r w:rsidR="00937067">
        <w:rPr>
          <w:rFonts w:ascii="Times New Roman" w:hAnsi="Times New Roman" w:cs="Times New Roman"/>
          <w:sz w:val="28"/>
          <w:szCs w:val="28"/>
        </w:rPr>
        <w:t>d.lgs. n. 267/2000 e art. 62, comma 6, d.lgs. n. 118/2011</w:t>
      </w:r>
      <w:r w:rsidR="00110AFC" w:rsidRPr="006309F9">
        <w:rPr>
          <w:rFonts w:ascii="Times New Roman" w:hAnsi="Times New Roman" w:cs="Times New Roman"/>
          <w:sz w:val="28"/>
          <w:szCs w:val="28"/>
        </w:rPr>
        <w:t>)</w:t>
      </w:r>
      <w:r w:rsidR="00110AFC" w:rsidRPr="00A94B0B">
        <w:rPr>
          <w:rFonts w:ascii="Times New Roman" w:hAnsi="Times New Roman" w:cs="Times New Roman"/>
          <w:sz w:val="28"/>
          <w:szCs w:val="28"/>
        </w:rPr>
        <w:t>.</w:t>
      </w:r>
    </w:p>
    <w:p w14:paraId="37174D7B" w14:textId="1D3E1135" w:rsidR="00A94B0B" w:rsidRPr="00A94B0B" w:rsidRDefault="00A94B0B" w:rsidP="00A94B0B">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Il Principio contabile</w:t>
      </w:r>
      <w:r w:rsidR="000A0F8D">
        <w:rPr>
          <w:rFonts w:ascii="Times New Roman" w:hAnsi="Times New Roman" w:cs="Times New Roman"/>
          <w:sz w:val="28"/>
          <w:szCs w:val="28"/>
        </w:rPr>
        <w:t xml:space="preserve"> applicato</w:t>
      </w:r>
      <w:r>
        <w:rPr>
          <w:rFonts w:ascii="Times New Roman" w:hAnsi="Times New Roman" w:cs="Times New Roman"/>
          <w:sz w:val="28"/>
          <w:szCs w:val="28"/>
        </w:rPr>
        <w:t>, infatti, nel disciplinare i</w:t>
      </w:r>
      <w:r w:rsidRPr="00A94B0B">
        <w:rPr>
          <w:rFonts w:ascii="Times New Roman" w:hAnsi="Times New Roman" w:cs="Times New Roman"/>
          <w:sz w:val="28"/>
          <w:szCs w:val="28"/>
        </w:rPr>
        <w:t>l trattame</w:t>
      </w:r>
      <w:r w:rsidR="000A0F8D">
        <w:rPr>
          <w:rFonts w:ascii="Times New Roman" w:hAnsi="Times New Roman" w:cs="Times New Roman"/>
          <w:sz w:val="28"/>
          <w:szCs w:val="28"/>
        </w:rPr>
        <w:t xml:space="preserve">nto delle garanzie fornite da un </w:t>
      </w:r>
      <w:r w:rsidRPr="00A94B0B">
        <w:rPr>
          <w:rFonts w:ascii="Times New Roman" w:hAnsi="Times New Roman" w:cs="Times New Roman"/>
          <w:sz w:val="28"/>
          <w:szCs w:val="28"/>
        </w:rPr>
        <w:t xml:space="preserve">ente </w:t>
      </w:r>
      <w:r w:rsidR="000A0F8D">
        <w:rPr>
          <w:rFonts w:ascii="Times New Roman" w:hAnsi="Times New Roman" w:cs="Times New Roman"/>
          <w:sz w:val="28"/>
          <w:szCs w:val="28"/>
        </w:rPr>
        <w:t xml:space="preserve">territoriale </w:t>
      </w:r>
      <w:r w:rsidRPr="00A94B0B">
        <w:rPr>
          <w:rFonts w:ascii="Times New Roman" w:hAnsi="Times New Roman" w:cs="Times New Roman"/>
          <w:sz w:val="28"/>
          <w:szCs w:val="28"/>
        </w:rPr>
        <w:t xml:space="preserve">sulle passività </w:t>
      </w:r>
      <w:r w:rsidR="00230C94">
        <w:rPr>
          <w:rFonts w:ascii="Times New Roman" w:hAnsi="Times New Roman" w:cs="Times New Roman"/>
          <w:sz w:val="28"/>
          <w:szCs w:val="28"/>
        </w:rPr>
        <w:t>contratte</w:t>
      </w:r>
      <w:r w:rsidRPr="00A94B0B">
        <w:rPr>
          <w:rFonts w:ascii="Times New Roman" w:hAnsi="Times New Roman" w:cs="Times New Roman"/>
          <w:sz w:val="28"/>
          <w:szCs w:val="28"/>
        </w:rPr>
        <w:t xml:space="preserve"> da terzi</w:t>
      </w:r>
      <w:r>
        <w:rPr>
          <w:rFonts w:ascii="Times New Roman" w:hAnsi="Times New Roman" w:cs="Times New Roman"/>
          <w:sz w:val="28"/>
          <w:szCs w:val="28"/>
        </w:rPr>
        <w:t xml:space="preserve">, specifica che, </w:t>
      </w:r>
      <w:r w:rsidRPr="00A94B0B">
        <w:rPr>
          <w:rFonts w:ascii="Times New Roman" w:hAnsi="Times New Roman" w:cs="Times New Roman"/>
          <w:sz w:val="28"/>
          <w:szCs w:val="28"/>
        </w:rPr>
        <w:t>al momento della concessione,</w:t>
      </w:r>
      <w:r>
        <w:rPr>
          <w:rFonts w:ascii="Times New Roman" w:hAnsi="Times New Roman" w:cs="Times New Roman"/>
          <w:sz w:val="28"/>
          <w:szCs w:val="28"/>
        </w:rPr>
        <w:t xml:space="preserve"> </w:t>
      </w:r>
      <w:r w:rsidR="000A0F8D">
        <w:rPr>
          <w:rFonts w:ascii="Times New Roman" w:hAnsi="Times New Roman" w:cs="Times New Roman"/>
          <w:sz w:val="28"/>
          <w:szCs w:val="28"/>
        </w:rPr>
        <w:t xml:space="preserve">è possibile, in contabilità finanziaria, non </w:t>
      </w:r>
      <w:r w:rsidRPr="00A94B0B">
        <w:rPr>
          <w:rFonts w:ascii="Times New Roman" w:hAnsi="Times New Roman" w:cs="Times New Roman"/>
          <w:sz w:val="28"/>
          <w:szCs w:val="28"/>
        </w:rPr>
        <w:t>effettua</w:t>
      </w:r>
      <w:r>
        <w:rPr>
          <w:rFonts w:ascii="Times New Roman" w:hAnsi="Times New Roman" w:cs="Times New Roman"/>
          <w:sz w:val="28"/>
          <w:szCs w:val="28"/>
        </w:rPr>
        <w:t>re alcuna contabilizzazione</w:t>
      </w:r>
      <w:r w:rsidR="000A0F8D">
        <w:rPr>
          <w:rStyle w:val="Rimandonotaapidipagina"/>
          <w:rFonts w:ascii="Times New Roman" w:hAnsi="Times New Roman" w:cs="Times New Roman"/>
          <w:sz w:val="28"/>
          <w:szCs w:val="28"/>
        </w:rPr>
        <w:footnoteReference w:id="97"/>
      </w:r>
      <w:r>
        <w:rPr>
          <w:rFonts w:ascii="Times New Roman" w:hAnsi="Times New Roman" w:cs="Times New Roman"/>
          <w:sz w:val="28"/>
          <w:szCs w:val="28"/>
        </w:rPr>
        <w:t xml:space="preserve">. </w:t>
      </w:r>
      <w:r w:rsidR="000A0F8D">
        <w:rPr>
          <w:rFonts w:ascii="Times New Roman" w:hAnsi="Times New Roman" w:cs="Times New Roman"/>
          <w:sz w:val="28"/>
          <w:szCs w:val="28"/>
        </w:rPr>
        <w:t>N</w:t>
      </w:r>
      <w:r w:rsidRPr="00A94B0B">
        <w:rPr>
          <w:rFonts w:ascii="Times New Roman" w:hAnsi="Times New Roman" w:cs="Times New Roman"/>
          <w:sz w:val="28"/>
          <w:szCs w:val="28"/>
        </w:rPr>
        <w:t xml:space="preserve">el rispetto del principio della prudenza, </w:t>
      </w:r>
      <w:r>
        <w:rPr>
          <w:rFonts w:ascii="Times New Roman" w:hAnsi="Times New Roman" w:cs="Times New Roman"/>
          <w:sz w:val="28"/>
          <w:szCs w:val="28"/>
        </w:rPr>
        <w:t>il medesimo Principio, subito dopo, “</w:t>
      </w:r>
      <w:r w:rsidRPr="00450406">
        <w:rPr>
          <w:rFonts w:ascii="Times New Roman" w:hAnsi="Times New Roman" w:cs="Times New Roman"/>
          <w:i/>
          <w:iCs/>
          <w:sz w:val="28"/>
          <w:szCs w:val="28"/>
        </w:rPr>
        <w:t>ritiene opportuno</w:t>
      </w:r>
      <w:r>
        <w:rPr>
          <w:rFonts w:ascii="Times New Roman" w:hAnsi="Times New Roman" w:cs="Times New Roman"/>
          <w:sz w:val="28"/>
          <w:szCs w:val="28"/>
        </w:rPr>
        <w:t>”</w:t>
      </w:r>
      <w:r w:rsidRPr="00A94B0B">
        <w:rPr>
          <w:rFonts w:ascii="Times New Roman" w:hAnsi="Times New Roman" w:cs="Times New Roman"/>
          <w:sz w:val="28"/>
          <w:szCs w:val="28"/>
        </w:rPr>
        <w:t xml:space="preserve"> che</w:t>
      </w:r>
      <w:r>
        <w:rPr>
          <w:rFonts w:ascii="Times New Roman" w:hAnsi="Times New Roman" w:cs="Times New Roman"/>
          <w:sz w:val="28"/>
          <w:szCs w:val="28"/>
        </w:rPr>
        <w:t>, nell’</w:t>
      </w:r>
      <w:r w:rsidRPr="00A94B0B">
        <w:rPr>
          <w:rFonts w:ascii="Times New Roman" w:hAnsi="Times New Roman" w:cs="Times New Roman"/>
          <w:sz w:val="28"/>
          <w:szCs w:val="28"/>
        </w:rPr>
        <w:t xml:space="preserve">esercizio in cui è concessa, l'ente effettui un accantonamento </w:t>
      </w:r>
      <w:r>
        <w:rPr>
          <w:rFonts w:ascii="Times New Roman" w:hAnsi="Times New Roman" w:cs="Times New Roman"/>
          <w:sz w:val="28"/>
          <w:szCs w:val="28"/>
        </w:rPr>
        <w:t xml:space="preserve">in parte spesa (che, a fine esercizio, </w:t>
      </w:r>
      <w:r w:rsidRPr="00A94B0B">
        <w:rPr>
          <w:rFonts w:ascii="Times New Roman" w:hAnsi="Times New Roman" w:cs="Times New Roman"/>
          <w:sz w:val="28"/>
          <w:szCs w:val="28"/>
        </w:rPr>
        <w:t xml:space="preserve">consente di destinare una quota del risultato di amministrazione a copertura dell'eventuale onere </w:t>
      </w:r>
      <w:r>
        <w:rPr>
          <w:rFonts w:ascii="Times New Roman" w:hAnsi="Times New Roman" w:cs="Times New Roman"/>
          <w:sz w:val="28"/>
          <w:szCs w:val="28"/>
        </w:rPr>
        <w:t xml:space="preserve">da </w:t>
      </w:r>
      <w:r w:rsidRPr="00A94B0B">
        <w:rPr>
          <w:rFonts w:ascii="Times New Roman" w:hAnsi="Times New Roman" w:cs="Times New Roman"/>
          <w:sz w:val="28"/>
          <w:szCs w:val="28"/>
        </w:rPr>
        <w:t>escussione del debito garantito</w:t>
      </w:r>
      <w:r>
        <w:rPr>
          <w:rFonts w:ascii="Times New Roman" w:hAnsi="Times New Roman" w:cs="Times New Roman"/>
          <w:sz w:val="28"/>
          <w:szCs w:val="28"/>
        </w:rPr>
        <w:t>)</w:t>
      </w:r>
      <w:r w:rsidRPr="00A94B0B">
        <w:rPr>
          <w:rFonts w:ascii="Times New Roman" w:hAnsi="Times New Roman" w:cs="Times New Roman"/>
          <w:sz w:val="28"/>
          <w:szCs w:val="28"/>
        </w:rPr>
        <w:t xml:space="preserve">. </w:t>
      </w:r>
    </w:p>
    <w:p w14:paraId="585D6C91" w14:textId="2020FC36" w:rsidR="00A94B0B" w:rsidRPr="00A94B0B" w:rsidRDefault="000A0F8D" w:rsidP="00A94B0B">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 xml:space="preserve">Invece, nel caso in cui si verifichi una prima </w:t>
      </w:r>
      <w:r w:rsidR="00A94B0B" w:rsidRPr="00A94B0B">
        <w:rPr>
          <w:rFonts w:ascii="Times New Roman" w:hAnsi="Times New Roman" w:cs="Times New Roman"/>
          <w:sz w:val="28"/>
          <w:szCs w:val="28"/>
        </w:rPr>
        <w:t xml:space="preserve">escussione della garanzia </w:t>
      </w:r>
      <w:r>
        <w:rPr>
          <w:rFonts w:ascii="Times New Roman" w:hAnsi="Times New Roman" w:cs="Times New Roman"/>
          <w:sz w:val="28"/>
          <w:szCs w:val="28"/>
        </w:rPr>
        <w:t>da parte del terzo creditore</w:t>
      </w:r>
      <w:r w:rsidR="00A94B0B" w:rsidRPr="00A94B0B">
        <w:rPr>
          <w:rFonts w:ascii="Times New Roman" w:hAnsi="Times New Roman" w:cs="Times New Roman"/>
          <w:sz w:val="28"/>
          <w:szCs w:val="28"/>
        </w:rPr>
        <w:t xml:space="preserve">, </w:t>
      </w:r>
      <w:r w:rsidR="00A94B0B">
        <w:rPr>
          <w:rFonts w:ascii="Times New Roman" w:hAnsi="Times New Roman" w:cs="Times New Roman"/>
          <w:sz w:val="28"/>
          <w:szCs w:val="28"/>
        </w:rPr>
        <w:t>l’</w:t>
      </w:r>
      <w:r w:rsidR="00A94B0B" w:rsidRPr="00A94B0B">
        <w:rPr>
          <w:rFonts w:ascii="Times New Roman" w:hAnsi="Times New Roman" w:cs="Times New Roman"/>
          <w:sz w:val="28"/>
          <w:szCs w:val="28"/>
        </w:rPr>
        <w:t>ent</w:t>
      </w:r>
      <w:r w:rsidR="00A94B0B">
        <w:rPr>
          <w:rFonts w:ascii="Times New Roman" w:hAnsi="Times New Roman" w:cs="Times New Roman"/>
          <w:sz w:val="28"/>
          <w:szCs w:val="28"/>
        </w:rPr>
        <w:t xml:space="preserve">e garante deve </w:t>
      </w:r>
      <w:r w:rsidR="00A94B0B" w:rsidRPr="00A94B0B">
        <w:rPr>
          <w:rFonts w:ascii="Times New Roman" w:hAnsi="Times New Roman" w:cs="Times New Roman"/>
          <w:sz w:val="28"/>
          <w:szCs w:val="28"/>
        </w:rPr>
        <w:t>impegna</w:t>
      </w:r>
      <w:r w:rsidR="00A94B0B">
        <w:rPr>
          <w:rFonts w:ascii="Times New Roman" w:hAnsi="Times New Roman" w:cs="Times New Roman"/>
          <w:sz w:val="28"/>
          <w:szCs w:val="28"/>
        </w:rPr>
        <w:t>re</w:t>
      </w:r>
      <w:r w:rsidR="00A94B0B" w:rsidRPr="00A94B0B">
        <w:rPr>
          <w:rFonts w:ascii="Times New Roman" w:hAnsi="Times New Roman" w:cs="Times New Roman"/>
          <w:sz w:val="28"/>
          <w:szCs w:val="28"/>
        </w:rPr>
        <w:t xml:space="preserve"> la spesa necessaria a pagare la rata</w:t>
      </w:r>
      <w:r>
        <w:rPr>
          <w:rFonts w:ascii="Times New Roman" w:hAnsi="Times New Roman" w:cs="Times New Roman"/>
          <w:sz w:val="28"/>
          <w:szCs w:val="28"/>
        </w:rPr>
        <w:t xml:space="preserve"> e, contestualmente, </w:t>
      </w:r>
      <w:r w:rsidR="00A94B0B" w:rsidRPr="00A94B0B">
        <w:rPr>
          <w:rFonts w:ascii="Times New Roman" w:hAnsi="Times New Roman" w:cs="Times New Roman"/>
          <w:sz w:val="28"/>
          <w:szCs w:val="28"/>
        </w:rPr>
        <w:t>accerta</w:t>
      </w:r>
      <w:r w:rsidR="00A94B0B">
        <w:rPr>
          <w:rFonts w:ascii="Times New Roman" w:hAnsi="Times New Roman" w:cs="Times New Roman"/>
          <w:sz w:val="28"/>
          <w:szCs w:val="28"/>
        </w:rPr>
        <w:t>re un</w:t>
      </w:r>
      <w:r w:rsidR="00A94B0B" w:rsidRPr="00A94B0B">
        <w:rPr>
          <w:rFonts w:ascii="Times New Roman" w:hAnsi="Times New Roman" w:cs="Times New Roman"/>
          <w:sz w:val="28"/>
          <w:szCs w:val="28"/>
        </w:rPr>
        <w:t xml:space="preserve"> credito </w:t>
      </w:r>
      <w:r w:rsidR="00A94B0B">
        <w:rPr>
          <w:rFonts w:ascii="Times New Roman" w:hAnsi="Times New Roman" w:cs="Times New Roman"/>
          <w:sz w:val="28"/>
          <w:szCs w:val="28"/>
        </w:rPr>
        <w:t xml:space="preserve">di pari importo </w:t>
      </w:r>
      <w:r w:rsidR="00A94B0B" w:rsidRPr="00A94B0B">
        <w:rPr>
          <w:rFonts w:ascii="Times New Roman" w:hAnsi="Times New Roman" w:cs="Times New Roman"/>
          <w:sz w:val="28"/>
          <w:szCs w:val="28"/>
        </w:rPr>
        <w:t>nei con</w:t>
      </w:r>
      <w:r w:rsidR="00A94B0B">
        <w:rPr>
          <w:rFonts w:ascii="Times New Roman" w:hAnsi="Times New Roman" w:cs="Times New Roman"/>
          <w:sz w:val="28"/>
          <w:szCs w:val="28"/>
        </w:rPr>
        <w:t>fronti del debitore originario (</w:t>
      </w:r>
      <w:r w:rsidR="00A94B0B" w:rsidRPr="00A94B0B">
        <w:rPr>
          <w:rFonts w:ascii="Times New Roman" w:hAnsi="Times New Roman" w:cs="Times New Roman"/>
          <w:sz w:val="28"/>
          <w:szCs w:val="28"/>
        </w:rPr>
        <w:t>diritto di rivalsa</w:t>
      </w:r>
      <w:r w:rsidR="00A94B0B">
        <w:rPr>
          <w:rFonts w:ascii="Times New Roman" w:hAnsi="Times New Roman" w:cs="Times New Roman"/>
          <w:sz w:val="28"/>
          <w:szCs w:val="28"/>
        </w:rPr>
        <w:t>), da imputare</w:t>
      </w:r>
      <w:r w:rsidR="00A94B0B" w:rsidRPr="00A94B0B">
        <w:rPr>
          <w:rFonts w:ascii="Times New Roman" w:hAnsi="Times New Roman" w:cs="Times New Roman"/>
          <w:sz w:val="28"/>
          <w:szCs w:val="28"/>
        </w:rPr>
        <w:t xml:space="preserve"> al</w:t>
      </w:r>
      <w:r w:rsidR="00A94B0B">
        <w:rPr>
          <w:rFonts w:ascii="Times New Roman" w:hAnsi="Times New Roman" w:cs="Times New Roman"/>
          <w:sz w:val="28"/>
          <w:szCs w:val="28"/>
        </w:rPr>
        <w:t xml:space="preserve"> medesimo </w:t>
      </w:r>
      <w:r w:rsidR="00A94B0B" w:rsidRPr="00A94B0B">
        <w:rPr>
          <w:rFonts w:ascii="Times New Roman" w:hAnsi="Times New Roman" w:cs="Times New Roman"/>
          <w:sz w:val="28"/>
          <w:szCs w:val="28"/>
        </w:rPr>
        <w:t>esercizio</w:t>
      </w:r>
      <w:r w:rsidR="00A94B0B">
        <w:rPr>
          <w:rFonts w:ascii="Times New Roman" w:hAnsi="Times New Roman" w:cs="Times New Roman"/>
          <w:sz w:val="28"/>
          <w:szCs w:val="28"/>
        </w:rPr>
        <w:t>, salvo s</w:t>
      </w:r>
      <w:r w:rsidR="00A94B0B" w:rsidRPr="00A94B0B">
        <w:rPr>
          <w:rFonts w:ascii="Times New Roman" w:hAnsi="Times New Roman" w:cs="Times New Roman"/>
          <w:sz w:val="28"/>
          <w:szCs w:val="28"/>
        </w:rPr>
        <w:t>tanzia</w:t>
      </w:r>
      <w:r w:rsidR="00A94B0B">
        <w:rPr>
          <w:rFonts w:ascii="Times New Roman" w:hAnsi="Times New Roman" w:cs="Times New Roman"/>
          <w:sz w:val="28"/>
          <w:szCs w:val="28"/>
        </w:rPr>
        <w:t>re,</w:t>
      </w:r>
      <w:r w:rsidR="00A94B0B" w:rsidRPr="00A94B0B">
        <w:rPr>
          <w:rFonts w:ascii="Times New Roman" w:hAnsi="Times New Roman" w:cs="Times New Roman"/>
          <w:sz w:val="28"/>
          <w:szCs w:val="28"/>
        </w:rPr>
        <w:t xml:space="preserve"> in spesa</w:t>
      </w:r>
      <w:r w:rsidR="00A94B0B">
        <w:rPr>
          <w:rFonts w:ascii="Times New Roman" w:hAnsi="Times New Roman" w:cs="Times New Roman"/>
          <w:sz w:val="28"/>
          <w:szCs w:val="28"/>
        </w:rPr>
        <w:t>,</w:t>
      </w:r>
      <w:r w:rsidR="00A94B0B" w:rsidRPr="00A94B0B">
        <w:rPr>
          <w:rFonts w:ascii="Times New Roman" w:hAnsi="Times New Roman" w:cs="Times New Roman"/>
          <w:sz w:val="28"/>
          <w:szCs w:val="28"/>
        </w:rPr>
        <w:t xml:space="preserve"> un fondo rischi </w:t>
      </w:r>
      <w:r w:rsidR="004162DD">
        <w:rPr>
          <w:rFonts w:ascii="Times New Roman" w:hAnsi="Times New Roman" w:cs="Times New Roman"/>
          <w:sz w:val="28"/>
          <w:szCs w:val="28"/>
        </w:rPr>
        <w:t>in misura corrispondente (data la dubbia esigibilità del credito in questione, che nasce, come esposto, da</w:t>
      </w:r>
      <w:r>
        <w:rPr>
          <w:rFonts w:ascii="Times New Roman" w:hAnsi="Times New Roman" w:cs="Times New Roman"/>
          <w:sz w:val="28"/>
          <w:szCs w:val="28"/>
        </w:rPr>
        <w:t>l pregresso mancato pagamento da parte del debitore garantito, a cui ha fatto seguito l’</w:t>
      </w:r>
      <w:r w:rsidR="00A94B0B" w:rsidRPr="00A94B0B">
        <w:rPr>
          <w:rFonts w:ascii="Times New Roman" w:hAnsi="Times New Roman" w:cs="Times New Roman"/>
          <w:sz w:val="28"/>
          <w:szCs w:val="28"/>
        </w:rPr>
        <w:t>escussione</w:t>
      </w:r>
      <w:r>
        <w:rPr>
          <w:rFonts w:ascii="Times New Roman" w:hAnsi="Times New Roman" w:cs="Times New Roman"/>
          <w:sz w:val="28"/>
          <w:szCs w:val="28"/>
        </w:rPr>
        <w:t xml:space="preserve"> della garanzia</w:t>
      </w:r>
      <w:r w:rsidR="004162DD">
        <w:rPr>
          <w:rFonts w:ascii="Times New Roman" w:hAnsi="Times New Roman" w:cs="Times New Roman"/>
          <w:sz w:val="28"/>
          <w:szCs w:val="28"/>
        </w:rPr>
        <w:t>).</w:t>
      </w:r>
      <w:r w:rsidR="00A94B0B" w:rsidRPr="00A94B0B">
        <w:rPr>
          <w:rFonts w:ascii="Times New Roman" w:hAnsi="Times New Roman" w:cs="Times New Roman"/>
          <w:sz w:val="28"/>
          <w:szCs w:val="28"/>
        </w:rPr>
        <w:t xml:space="preserve"> </w:t>
      </w:r>
    </w:p>
    <w:p w14:paraId="4EFFD9A7" w14:textId="5AD62EB1" w:rsidR="00A94B0B" w:rsidRPr="00A94B0B" w:rsidRDefault="004162DD" w:rsidP="00A94B0B">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Infine, a</w:t>
      </w:r>
      <w:r w:rsidR="00A94B0B" w:rsidRPr="00A94B0B">
        <w:rPr>
          <w:rFonts w:ascii="Times New Roman" w:hAnsi="Times New Roman" w:cs="Times New Roman"/>
          <w:sz w:val="28"/>
          <w:szCs w:val="28"/>
        </w:rPr>
        <w:t>i sensi di q</w:t>
      </w:r>
      <w:r>
        <w:rPr>
          <w:rFonts w:ascii="Times New Roman" w:hAnsi="Times New Roman" w:cs="Times New Roman"/>
          <w:sz w:val="28"/>
          <w:szCs w:val="28"/>
        </w:rPr>
        <w:t xml:space="preserve">uanto </w:t>
      </w:r>
      <w:r w:rsidR="000A0F8D">
        <w:rPr>
          <w:rFonts w:ascii="Times New Roman" w:hAnsi="Times New Roman" w:cs="Times New Roman"/>
          <w:sz w:val="28"/>
          <w:szCs w:val="28"/>
        </w:rPr>
        <w:t>disposto</w:t>
      </w:r>
      <w:r>
        <w:rPr>
          <w:rFonts w:ascii="Times New Roman" w:hAnsi="Times New Roman" w:cs="Times New Roman"/>
          <w:sz w:val="28"/>
          <w:szCs w:val="28"/>
        </w:rPr>
        <w:t xml:space="preserve"> </w:t>
      </w:r>
      <w:r w:rsidR="000A0F8D">
        <w:rPr>
          <w:rFonts w:ascii="Times New Roman" w:hAnsi="Times New Roman" w:cs="Times New Roman"/>
          <w:sz w:val="28"/>
          <w:szCs w:val="28"/>
        </w:rPr>
        <w:t>dall’art. 3, comma 1</w:t>
      </w:r>
      <w:r>
        <w:rPr>
          <w:rFonts w:ascii="Times New Roman" w:hAnsi="Times New Roman" w:cs="Times New Roman"/>
          <w:sz w:val="28"/>
          <w:szCs w:val="28"/>
        </w:rPr>
        <w:t>7</w:t>
      </w:r>
      <w:r w:rsidR="000A0F8D">
        <w:rPr>
          <w:rFonts w:ascii="Times New Roman" w:hAnsi="Times New Roman" w:cs="Times New Roman"/>
          <w:sz w:val="28"/>
          <w:szCs w:val="28"/>
        </w:rPr>
        <w:t>,</w:t>
      </w:r>
      <w:r>
        <w:rPr>
          <w:rFonts w:ascii="Times New Roman" w:hAnsi="Times New Roman" w:cs="Times New Roman"/>
          <w:sz w:val="28"/>
          <w:szCs w:val="28"/>
        </w:rPr>
        <w:t xml:space="preserve"> </w:t>
      </w:r>
      <w:r w:rsidR="00A94B0B" w:rsidRPr="00A94B0B">
        <w:rPr>
          <w:rFonts w:ascii="Times New Roman" w:hAnsi="Times New Roman" w:cs="Times New Roman"/>
          <w:sz w:val="28"/>
          <w:szCs w:val="28"/>
        </w:rPr>
        <w:t>della legge n. 350</w:t>
      </w:r>
      <w:r>
        <w:rPr>
          <w:rFonts w:ascii="Times New Roman" w:hAnsi="Times New Roman" w:cs="Times New Roman"/>
          <w:sz w:val="28"/>
          <w:szCs w:val="28"/>
        </w:rPr>
        <w:t>/2003</w:t>
      </w:r>
      <w:r w:rsidR="00A94B0B" w:rsidRPr="00A94B0B">
        <w:rPr>
          <w:rFonts w:ascii="Times New Roman" w:hAnsi="Times New Roman" w:cs="Times New Roman"/>
          <w:sz w:val="28"/>
          <w:szCs w:val="28"/>
        </w:rPr>
        <w:t>, a seguito della terza richiesta consecutiva di pagare le annualità d</w:t>
      </w:r>
      <w:r w:rsidR="000A0F8D">
        <w:rPr>
          <w:rFonts w:ascii="Times New Roman" w:hAnsi="Times New Roman" w:cs="Times New Roman"/>
          <w:sz w:val="28"/>
          <w:szCs w:val="28"/>
        </w:rPr>
        <w:t>i un</w:t>
      </w:r>
      <w:r w:rsidR="00A94B0B" w:rsidRPr="00A94B0B">
        <w:rPr>
          <w:rFonts w:ascii="Times New Roman" w:hAnsi="Times New Roman" w:cs="Times New Roman"/>
          <w:sz w:val="28"/>
          <w:szCs w:val="28"/>
        </w:rPr>
        <w:t xml:space="preserve"> prestito garantito, </w:t>
      </w:r>
      <w:r w:rsidR="000A0F8D">
        <w:rPr>
          <w:rFonts w:ascii="Times New Roman" w:hAnsi="Times New Roman" w:cs="Times New Roman"/>
          <w:sz w:val="28"/>
          <w:szCs w:val="28"/>
        </w:rPr>
        <w:t xml:space="preserve">tutto il </w:t>
      </w:r>
      <w:r w:rsidR="00A94B0B" w:rsidRPr="00A94B0B">
        <w:rPr>
          <w:rFonts w:ascii="Times New Roman" w:hAnsi="Times New Roman" w:cs="Times New Roman"/>
          <w:sz w:val="28"/>
          <w:szCs w:val="28"/>
        </w:rPr>
        <w:t>debito</w:t>
      </w:r>
      <w:r w:rsidR="000A0F8D">
        <w:rPr>
          <w:rFonts w:ascii="Times New Roman" w:hAnsi="Times New Roman" w:cs="Times New Roman"/>
          <w:sz w:val="28"/>
          <w:szCs w:val="28"/>
        </w:rPr>
        <w:t xml:space="preserve"> residuo </w:t>
      </w:r>
      <w:r>
        <w:rPr>
          <w:rFonts w:ascii="Times New Roman" w:hAnsi="Times New Roman" w:cs="Times New Roman"/>
          <w:sz w:val="28"/>
          <w:szCs w:val="28"/>
        </w:rPr>
        <w:t>va</w:t>
      </w:r>
      <w:r w:rsidR="00A94B0B" w:rsidRPr="00A94B0B">
        <w:rPr>
          <w:rFonts w:ascii="Times New Roman" w:hAnsi="Times New Roman" w:cs="Times New Roman"/>
          <w:sz w:val="28"/>
          <w:szCs w:val="28"/>
        </w:rPr>
        <w:t xml:space="preserve"> registrato </w:t>
      </w:r>
      <w:r>
        <w:rPr>
          <w:rFonts w:ascii="Times New Roman" w:hAnsi="Times New Roman" w:cs="Times New Roman"/>
          <w:sz w:val="28"/>
          <w:szCs w:val="28"/>
        </w:rPr>
        <w:t xml:space="preserve">dall’ente territoriale garante </w:t>
      </w:r>
      <w:r w:rsidR="00A94B0B" w:rsidRPr="00A94B0B">
        <w:rPr>
          <w:rFonts w:ascii="Times New Roman" w:hAnsi="Times New Roman" w:cs="Times New Roman"/>
          <w:sz w:val="28"/>
          <w:szCs w:val="28"/>
        </w:rPr>
        <w:t xml:space="preserve">come </w:t>
      </w:r>
      <w:r>
        <w:rPr>
          <w:rFonts w:ascii="Times New Roman" w:hAnsi="Times New Roman" w:cs="Times New Roman"/>
          <w:sz w:val="28"/>
          <w:szCs w:val="28"/>
        </w:rPr>
        <w:t>proprio (</w:t>
      </w:r>
      <w:r w:rsidR="00A94B0B" w:rsidRPr="00A94B0B">
        <w:rPr>
          <w:rFonts w:ascii="Times New Roman" w:hAnsi="Times New Roman" w:cs="Times New Roman"/>
          <w:sz w:val="28"/>
          <w:szCs w:val="28"/>
        </w:rPr>
        <w:t xml:space="preserve">fermo restando il diritto di </w:t>
      </w:r>
      <w:r>
        <w:rPr>
          <w:rFonts w:ascii="Times New Roman" w:hAnsi="Times New Roman" w:cs="Times New Roman"/>
          <w:sz w:val="28"/>
          <w:szCs w:val="28"/>
        </w:rPr>
        <w:t xml:space="preserve">rivalsa </w:t>
      </w:r>
      <w:r w:rsidR="00A94B0B" w:rsidRPr="00A94B0B">
        <w:rPr>
          <w:rFonts w:ascii="Times New Roman" w:hAnsi="Times New Roman" w:cs="Times New Roman"/>
          <w:sz w:val="28"/>
          <w:szCs w:val="28"/>
        </w:rPr>
        <w:t xml:space="preserve">nei confronti del debitore </w:t>
      </w:r>
      <w:r>
        <w:rPr>
          <w:rFonts w:ascii="Times New Roman" w:hAnsi="Times New Roman" w:cs="Times New Roman"/>
          <w:sz w:val="28"/>
          <w:szCs w:val="28"/>
        </w:rPr>
        <w:t>garantito)</w:t>
      </w:r>
      <w:r w:rsidR="00A94B0B" w:rsidRPr="00A94B0B">
        <w:rPr>
          <w:rFonts w:ascii="Times New Roman" w:hAnsi="Times New Roman" w:cs="Times New Roman"/>
          <w:sz w:val="28"/>
          <w:szCs w:val="28"/>
        </w:rPr>
        <w:t xml:space="preserve">. Pertanto, al pagamento della terza annualità, oltre alle operazioni </w:t>
      </w:r>
      <w:r>
        <w:rPr>
          <w:rFonts w:ascii="Times New Roman" w:hAnsi="Times New Roman" w:cs="Times New Roman"/>
          <w:sz w:val="28"/>
          <w:szCs w:val="28"/>
        </w:rPr>
        <w:t xml:space="preserve">contabili sopra esposte, l’ente </w:t>
      </w:r>
      <w:r w:rsidR="000A0F8D">
        <w:rPr>
          <w:rFonts w:ascii="Times New Roman" w:hAnsi="Times New Roman" w:cs="Times New Roman"/>
          <w:sz w:val="28"/>
          <w:szCs w:val="28"/>
        </w:rPr>
        <w:t xml:space="preserve">deve </w:t>
      </w:r>
      <w:r>
        <w:rPr>
          <w:rFonts w:ascii="Times New Roman" w:hAnsi="Times New Roman" w:cs="Times New Roman"/>
          <w:sz w:val="28"/>
          <w:szCs w:val="28"/>
        </w:rPr>
        <w:t>impegnare</w:t>
      </w:r>
      <w:r w:rsidR="00A94B0B" w:rsidRPr="00A94B0B">
        <w:rPr>
          <w:rFonts w:ascii="Times New Roman" w:hAnsi="Times New Roman" w:cs="Times New Roman"/>
          <w:sz w:val="28"/>
          <w:szCs w:val="28"/>
        </w:rPr>
        <w:t xml:space="preserve"> </w:t>
      </w:r>
      <w:r>
        <w:rPr>
          <w:rFonts w:ascii="Times New Roman" w:hAnsi="Times New Roman" w:cs="Times New Roman"/>
          <w:sz w:val="28"/>
          <w:szCs w:val="28"/>
        </w:rPr>
        <w:t>(</w:t>
      </w:r>
      <w:r w:rsidR="00A94B0B" w:rsidRPr="00A94B0B">
        <w:rPr>
          <w:rFonts w:ascii="Times New Roman" w:hAnsi="Times New Roman" w:cs="Times New Roman"/>
          <w:sz w:val="28"/>
          <w:szCs w:val="28"/>
        </w:rPr>
        <w:t xml:space="preserve">tra le </w:t>
      </w:r>
      <w:r>
        <w:rPr>
          <w:rFonts w:ascii="Times New Roman" w:hAnsi="Times New Roman" w:cs="Times New Roman"/>
          <w:sz w:val="28"/>
          <w:szCs w:val="28"/>
        </w:rPr>
        <w:t>“</w:t>
      </w:r>
      <w:r w:rsidR="00A94B0B" w:rsidRPr="00A94B0B">
        <w:rPr>
          <w:rFonts w:ascii="Times New Roman" w:hAnsi="Times New Roman" w:cs="Times New Roman"/>
          <w:sz w:val="28"/>
          <w:szCs w:val="28"/>
        </w:rPr>
        <w:t>concessioni di crediti</w:t>
      </w:r>
      <w:r>
        <w:rPr>
          <w:rFonts w:ascii="Times New Roman" w:hAnsi="Times New Roman" w:cs="Times New Roman"/>
          <w:sz w:val="28"/>
          <w:szCs w:val="28"/>
        </w:rPr>
        <w:t>”)</w:t>
      </w:r>
      <w:r w:rsidR="00A94B0B" w:rsidRPr="00A94B0B">
        <w:rPr>
          <w:rFonts w:ascii="Times New Roman" w:hAnsi="Times New Roman" w:cs="Times New Roman"/>
          <w:sz w:val="28"/>
          <w:szCs w:val="28"/>
        </w:rPr>
        <w:t xml:space="preserve"> una spesa pari</w:t>
      </w:r>
      <w:r w:rsidR="000A0F8D">
        <w:rPr>
          <w:rFonts w:ascii="Times New Roman" w:hAnsi="Times New Roman" w:cs="Times New Roman"/>
          <w:sz w:val="28"/>
          <w:szCs w:val="28"/>
        </w:rPr>
        <w:t xml:space="preserve"> all'importo del debito residuo e, c</w:t>
      </w:r>
      <w:r>
        <w:rPr>
          <w:rFonts w:ascii="Times New Roman" w:hAnsi="Times New Roman" w:cs="Times New Roman"/>
          <w:sz w:val="28"/>
          <w:szCs w:val="28"/>
        </w:rPr>
        <w:t xml:space="preserve">ontestualmente, accertare un simmetrico </w:t>
      </w:r>
      <w:r w:rsidR="00A94B0B" w:rsidRPr="00A94B0B">
        <w:rPr>
          <w:rFonts w:ascii="Times New Roman" w:hAnsi="Times New Roman" w:cs="Times New Roman"/>
          <w:sz w:val="28"/>
          <w:szCs w:val="28"/>
        </w:rPr>
        <w:t>credito nei confronti del debitore originario</w:t>
      </w:r>
      <w:r>
        <w:rPr>
          <w:rFonts w:ascii="Times New Roman" w:hAnsi="Times New Roman" w:cs="Times New Roman"/>
          <w:sz w:val="28"/>
          <w:szCs w:val="28"/>
        </w:rPr>
        <w:t xml:space="preserve"> (salvo svalutarlo integralmente), nonché </w:t>
      </w:r>
      <w:r w:rsidR="00A94B0B" w:rsidRPr="00A94B0B">
        <w:rPr>
          <w:rFonts w:ascii="Times New Roman" w:hAnsi="Times New Roman" w:cs="Times New Roman"/>
          <w:sz w:val="28"/>
          <w:szCs w:val="28"/>
        </w:rPr>
        <w:t xml:space="preserve">impegnare la spesa per interessi passivi e rimborso </w:t>
      </w:r>
      <w:r>
        <w:rPr>
          <w:rFonts w:ascii="Times New Roman" w:hAnsi="Times New Roman" w:cs="Times New Roman"/>
          <w:sz w:val="28"/>
          <w:szCs w:val="28"/>
        </w:rPr>
        <w:t>della quota capitale,</w:t>
      </w:r>
      <w:r w:rsidR="00A94B0B" w:rsidRPr="00A94B0B">
        <w:rPr>
          <w:rFonts w:ascii="Times New Roman" w:hAnsi="Times New Roman" w:cs="Times New Roman"/>
          <w:sz w:val="28"/>
          <w:szCs w:val="28"/>
        </w:rPr>
        <w:t xml:space="preserve"> sulla base del piano di a</w:t>
      </w:r>
      <w:r>
        <w:rPr>
          <w:rFonts w:ascii="Times New Roman" w:hAnsi="Times New Roman" w:cs="Times New Roman"/>
          <w:sz w:val="28"/>
          <w:szCs w:val="28"/>
        </w:rPr>
        <w:t>mmortamento del debito residuo.</w:t>
      </w:r>
    </w:p>
    <w:p w14:paraId="48A51BC2" w14:textId="77777777" w:rsidR="006309F9" w:rsidRPr="006309F9" w:rsidRDefault="006309F9" w:rsidP="006309F9">
      <w:pPr>
        <w:spacing w:after="120" w:line="240" w:lineRule="auto"/>
        <w:jc w:val="both"/>
        <w:rPr>
          <w:rFonts w:ascii="Times New Roman" w:hAnsi="Times New Roman" w:cs="Times New Roman"/>
          <w:sz w:val="28"/>
          <w:szCs w:val="28"/>
        </w:rPr>
      </w:pPr>
    </w:p>
    <w:p w14:paraId="653601E5" w14:textId="3AE80659" w:rsidR="00D70DA5" w:rsidRPr="006309F9" w:rsidRDefault="00FF4D84" w:rsidP="00970E2C">
      <w:pPr>
        <w:pStyle w:val="Titolo2"/>
      </w:pPr>
      <w:bookmarkStart w:id="9" w:name="_Toc1148502"/>
      <w:r>
        <w:t>1</w:t>
      </w:r>
      <w:r w:rsidR="0028307E" w:rsidRPr="006309F9">
        <w:t xml:space="preserve">.4 </w:t>
      </w:r>
      <w:r w:rsidR="00D70DA5" w:rsidRPr="006309F9">
        <w:t>Il fondo perdite società partecipate</w:t>
      </w:r>
      <w:bookmarkEnd w:id="9"/>
    </w:p>
    <w:p w14:paraId="47126354" w14:textId="52CF4D29" w:rsidR="00C251A1" w:rsidRPr="006309F9" w:rsidRDefault="00C251A1" w:rsidP="00356BA1">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In coerenza con i principi fondamentali che ispirano il nuovo ordinamento contabile</w:t>
      </w:r>
      <w:r w:rsidR="00356BA1">
        <w:rPr>
          <w:rFonts w:ascii="Times New Roman" w:hAnsi="Times New Roman" w:cs="Times New Roman"/>
          <w:sz w:val="28"/>
          <w:szCs w:val="28"/>
        </w:rPr>
        <w:t xml:space="preserve"> degli enti territoriali</w:t>
      </w:r>
      <w:r w:rsidRPr="006309F9">
        <w:rPr>
          <w:rFonts w:ascii="Times New Roman" w:hAnsi="Times New Roman" w:cs="Times New Roman"/>
          <w:sz w:val="28"/>
          <w:szCs w:val="28"/>
        </w:rPr>
        <w:t>, volti a prevedere adeguati accantonamenti destinati a salvaguardare gli</w:t>
      </w:r>
      <w:r w:rsidR="00356BA1">
        <w:rPr>
          <w:rFonts w:ascii="Times New Roman" w:hAnsi="Times New Roman" w:cs="Times New Roman"/>
          <w:sz w:val="28"/>
          <w:szCs w:val="28"/>
        </w:rPr>
        <w:t xml:space="preserve"> </w:t>
      </w:r>
      <w:r w:rsidRPr="006309F9">
        <w:rPr>
          <w:rFonts w:ascii="Times New Roman" w:hAnsi="Times New Roman" w:cs="Times New Roman"/>
          <w:sz w:val="28"/>
          <w:szCs w:val="28"/>
        </w:rPr>
        <w:t xml:space="preserve">equilibri </w:t>
      </w:r>
      <w:r w:rsidR="00356BA1">
        <w:rPr>
          <w:rFonts w:ascii="Times New Roman" w:hAnsi="Times New Roman" w:cs="Times New Roman"/>
          <w:sz w:val="28"/>
          <w:szCs w:val="28"/>
        </w:rPr>
        <w:t xml:space="preserve">di </w:t>
      </w:r>
      <w:r w:rsidRPr="006309F9">
        <w:rPr>
          <w:rFonts w:ascii="Times New Roman" w:hAnsi="Times New Roman" w:cs="Times New Roman"/>
          <w:sz w:val="28"/>
          <w:szCs w:val="28"/>
        </w:rPr>
        <w:t>bilancio, si inserisce</w:t>
      </w:r>
      <w:r w:rsidR="00356BA1">
        <w:rPr>
          <w:rFonts w:ascii="Times New Roman" w:hAnsi="Times New Roman" w:cs="Times New Roman"/>
          <w:sz w:val="28"/>
          <w:szCs w:val="28"/>
        </w:rPr>
        <w:t xml:space="preserve">, come ricordato dalla Sezione delle </w:t>
      </w:r>
      <w:r w:rsidR="000A0F8D">
        <w:rPr>
          <w:rFonts w:ascii="Times New Roman" w:hAnsi="Times New Roman" w:cs="Times New Roman"/>
          <w:sz w:val="28"/>
          <w:szCs w:val="28"/>
        </w:rPr>
        <w:t>Autonomie della Corte dei conti</w:t>
      </w:r>
      <w:r w:rsidR="00356BA1">
        <w:rPr>
          <w:rFonts w:ascii="Times New Roman" w:hAnsi="Times New Roman" w:cs="Times New Roman"/>
          <w:sz w:val="28"/>
          <w:szCs w:val="28"/>
        </w:rPr>
        <w:t xml:space="preserve"> sin dalla deliberazione n.</w:t>
      </w:r>
      <w:r w:rsidR="00356BA1" w:rsidRPr="006309F9">
        <w:rPr>
          <w:rFonts w:ascii="Times New Roman" w:hAnsi="Times New Roman" w:cs="Times New Roman"/>
          <w:sz w:val="28"/>
          <w:szCs w:val="28"/>
        </w:rPr>
        <w:t xml:space="preserve"> 4/2015</w:t>
      </w:r>
      <w:r w:rsidR="00356BA1">
        <w:rPr>
          <w:rFonts w:ascii="Times New Roman" w:hAnsi="Times New Roman" w:cs="Times New Roman"/>
          <w:sz w:val="28"/>
          <w:szCs w:val="28"/>
        </w:rPr>
        <w:t xml:space="preserve">/INPR, </w:t>
      </w:r>
      <w:r w:rsidRPr="006309F9">
        <w:rPr>
          <w:rFonts w:ascii="Times New Roman" w:hAnsi="Times New Roman" w:cs="Times New Roman"/>
          <w:sz w:val="28"/>
          <w:szCs w:val="28"/>
        </w:rPr>
        <w:t xml:space="preserve">il </w:t>
      </w:r>
      <w:r w:rsidR="000A0F8D">
        <w:rPr>
          <w:rFonts w:ascii="Times New Roman" w:hAnsi="Times New Roman" w:cs="Times New Roman"/>
          <w:sz w:val="28"/>
          <w:szCs w:val="28"/>
        </w:rPr>
        <w:t>“</w:t>
      </w:r>
      <w:r w:rsidR="00356BA1">
        <w:rPr>
          <w:rFonts w:ascii="Times New Roman" w:hAnsi="Times New Roman" w:cs="Times New Roman"/>
          <w:sz w:val="28"/>
          <w:szCs w:val="28"/>
        </w:rPr>
        <w:t>f</w:t>
      </w:r>
      <w:r w:rsidRPr="006309F9">
        <w:rPr>
          <w:rFonts w:ascii="Times New Roman" w:hAnsi="Times New Roman" w:cs="Times New Roman"/>
          <w:sz w:val="28"/>
          <w:szCs w:val="28"/>
        </w:rPr>
        <w:t>ondo</w:t>
      </w:r>
      <w:r w:rsidR="000A0F8D">
        <w:rPr>
          <w:rFonts w:ascii="Times New Roman" w:hAnsi="Times New Roman" w:cs="Times New Roman"/>
          <w:sz w:val="28"/>
          <w:szCs w:val="28"/>
        </w:rPr>
        <w:t xml:space="preserve"> perdite”</w:t>
      </w:r>
      <w:r w:rsidRPr="006309F9">
        <w:rPr>
          <w:rFonts w:ascii="Times New Roman" w:hAnsi="Times New Roman" w:cs="Times New Roman"/>
          <w:sz w:val="28"/>
          <w:szCs w:val="28"/>
        </w:rPr>
        <w:t xml:space="preserve"> </w:t>
      </w:r>
      <w:r w:rsidR="000A0F8D">
        <w:rPr>
          <w:rFonts w:ascii="Times New Roman" w:hAnsi="Times New Roman" w:cs="Times New Roman"/>
          <w:sz w:val="28"/>
          <w:szCs w:val="28"/>
        </w:rPr>
        <w:t>prescritto d</w:t>
      </w:r>
      <w:r w:rsidRPr="006309F9">
        <w:rPr>
          <w:rFonts w:ascii="Times New Roman" w:hAnsi="Times New Roman" w:cs="Times New Roman"/>
          <w:sz w:val="28"/>
          <w:szCs w:val="28"/>
        </w:rPr>
        <w:t>a</w:t>
      </w:r>
      <w:r w:rsidR="000A0F8D">
        <w:rPr>
          <w:rFonts w:ascii="Times New Roman" w:hAnsi="Times New Roman" w:cs="Times New Roman"/>
          <w:sz w:val="28"/>
          <w:szCs w:val="28"/>
        </w:rPr>
        <w:t>ll’art</w:t>
      </w:r>
      <w:r w:rsidR="00356BA1">
        <w:rPr>
          <w:rFonts w:ascii="Times New Roman" w:hAnsi="Times New Roman" w:cs="Times New Roman"/>
          <w:sz w:val="28"/>
          <w:szCs w:val="28"/>
        </w:rPr>
        <w:t xml:space="preserve">. 21 del d.lgs. n. 175/2016 (testo unico sulle società pubbliche) e </w:t>
      </w:r>
      <w:r w:rsidR="000A0F8D">
        <w:rPr>
          <w:rFonts w:ascii="Times New Roman" w:hAnsi="Times New Roman" w:cs="Times New Roman"/>
          <w:sz w:val="28"/>
          <w:szCs w:val="28"/>
        </w:rPr>
        <w:t xml:space="preserve">dall’art. </w:t>
      </w:r>
      <w:r w:rsidRPr="006309F9">
        <w:rPr>
          <w:rFonts w:ascii="Times New Roman" w:hAnsi="Times New Roman" w:cs="Times New Roman"/>
          <w:sz w:val="28"/>
          <w:szCs w:val="28"/>
        </w:rPr>
        <w:t>1, com</w:t>
      </w:r>
      <w:r w:rsidR="00356BA1">
        <w:rPr>
          <w:rFonts w:ascii="Times New Roman" w:hAnsi="Times New Roman" w:cs="Times New Roman"/>
          <w:sz w:val="28"/>
          <w:szCs w:val="28"/>
        </w:rPr>
        <w:t>ma</w:t>
      </w:r>
      <w:r w:rsidRPr="006309F9">
        <w:rPr>
          <w:rFonts w:ascii="Times New Roman" w:hAnsi="Times New Roman" w:cs="Times New Roman"/>
          <w:sz w:val="28"/>
          <w:szCs w:val="28"/>
        </w:rPr>
        <w:t xml:space="preserve"> 550 e</w:t>
      </w:r>
      <w:r w:rsidR="00356BA1">
        <w:rPr>
          <w:rFonts w:ascii="Times New Roman" w:hAnsi="Times New Roman" w:cs="Times New Roman"/>
          <w:sz w:val="28"/>
          <w:szCs w:val="28"/>
        </w:rPr>
        <w:t xml:space="preserve"> seguenti, della </w:t>
      </w:r>
      <w:r w:rsidRPr="006309F9">
        <w:rPr>
          <w:rFonts w:ascii="Times New Roman" w:hAnsi="Times New Roman" w:cs="Times New Roman"/>
          <w:sz w:val="28"/>
          <w:szCs w:val="28"/>
        </w:rPr>
        <w:t>legge 147/2013</w:t>
      </w:r>
      <w:r w:rsidR="000A0F8D">
        <w:rPr>
          <w:rFonts w:ascii="Times New Roman" w:hAnsi="Times New Roman" w:cs="Times New Roman"/>
          <w:sz w:val="28"/>
          <w:szCs w:val="28"/>
        </w:rPr>
        <w:t xml:space="preserve"> (limitato, dopo il ridetto testo unico sulle società pubbliche, ad aziende speciali ed istituzioni)</w:t>
      </w:r>
      <w:r w:rsidRPr="006309F9">
        <w:rPr>
          <w:rFonts w:ascii="Times New Roman" w:hAnsi="Times New Roman" w:cs="Times New Roman"/>
          <w:sz w:val="28"/>
          <w:szCs w:val="28"/>
        </w:rPr>
        <w:t>.</w:t>
      </w:r>
    </w:p>
    <w:p w14:paraId="67C76E17" w14:textId="1CDD9190" w:rsidR="00C251A1" w:rsidRDefault="00C251A1" w:rsidP="00356BA1">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 xml:space="preserve">Nel disegno di armonizzazione dei sistemi contabili e degli schemi di bilancio delle </w:t>
      </w:r>
      <w:r w:rsidR="00356BA1">
        <w:rPr>
          <w:rFonts w:ascii="Times New Roman" w:hAnsi="Times New Roman" w:cs="Times New Roman"/>
          <w:sz w:val="28"/>
          <w:szCs w:val="28"/>
        </w:rPr>
        <w:t>r</w:t>
      </w:r>
      <w:r w:rsidRPr="006309F9">
        <w:rPr>
          <w:rFonts w:ascii="Times New Roman" w:hAnsi="Times New Roman" w:cs="Times New Roman"/>
          <w:sz w:val="28"/>
          <w:szCs w:val="28"/>
        </w:rPr>
        <w:t xml:space="preserve">egioni, degli </w:t>
      </w:r>
      <w:r w:rsidR="00356BA1">
        <w:rPr>
          <w:rFonts w:ascii="Times New Roman" w:hAnsi="Times New Roman" w:cs="Times New Roman"/>
          <w:sz w:val="28"/>
          <w:szCs w:val="28"/>
        </w:rPr>
        <w:t>e</w:t>
      </w:r>
      <w:r w:rsidRPr="006309F9">
        <w:rPr>
          <w:rFonts w:ascii="Times New Roman" w:hAnsi="Times New Roman" w:cs="Times New Roman"/>
          <w:sz w:val="28"/>
          <w:szCs w:val="28"/>
        </w:rPr>
        <w:t>nti locali e dei loro organismi partecipati o controllati, un momento essenziale è costituito</w:t>
      </w:r>
      <w:r w:rsidR="00356BA1">
        <w:rPr>
          <w:rFonts w:ascii="Times New Roman" w:hAnsi="Times New Roman" w:cs="Times New Roman"/>
          <w:sz w:val="28"/>
          <w:szCs w:val="28"/>
        </w:rPr>
        <w:t>, infatti,</w:t>
      </w:r>
      <w:r w:rsidR="000A0F8D">
        <w:rPr>
          <w:rFonts w:ascii="Times New Roman" w:hAnsi="Times New Roman" w:cs="Times New Roman"/>
          <w:sz w:val="28"/>
          <w:szCs w:val="28"/>
        </w:rPr>
        <w:t xml:space="preserve"> dall’adozione d</w:t>
      </w:r>
      <w:r w:rsidRPr="006309F9">
        <w:rPr>
          <w:rFonts w:ascii="Times New Roman" w:hAnsi="Times New Roman" w:cs="Times New Roman"/>
          <w:sz w:val="28"/>
          <w:szCs w:val="28"/>
        </w:rPr>
        <w:t>i comuni schemi di bilancio consolidato</w:t>
      </w:r>
      <w:r w:rsidR="00356BA1">
        <w:rPr>
          <w:rFonts w:ascii="Times New Roman" w:hAnsi="Times New Roman" w:cs="Times New Roman"/>
          <w:sz w:val="28"/>
          <w:szCs w:val="28"/>
        </w:rPr>
        <w:t xml:space="preserve"> (</w:t>
      </w:r>
      <w:r w:rsidRPr="006309F9">
        <w:rPr>
          <w:rFonts w:ascii="Times New Roman" w:hAnsi="Times New Roman" w:cs="Times New Roman"/>
          <w:sz w:val="28"/>
          <w:szCs w:val="28"/>
        </w:rPr>
        <w:t>art. 11</w:t>
      </w:r>
      <w:r w:rsidR="00356BA1">
        <w:rPr>
          <w:rFonts w:ascii="Times New Roman" w:hAnsi="Times New Roman" w:cs="Times New Roman"/>
          <w:sz w:val="28"/>
          <w:szCs w:val="28"/>
        </w:rPr>
        <w:t>-</w:t>
      </w:r>
      <w:r w:rsidR="00356BA1" w:rsidRPr="00356BA1">
        <w:rPr>
          <w:rFonts w:ascii="Times New Roman" w:hAnsi="Times New Roman" w:cs="Times New Roman"/>
          <w:i/>
          <w:sz w:val="28"/>
          <w:szCs w:val="28"/>
        </w:rPr>
        <w:t>bis</w:t>
      </w:r>
      <w:r w:rsidR="00356BA1">
        <w:rPr>
          <w:rFonts w:ascii="Times New Roman" w:hAnsi="Times New Roman" w:cs="Times New Roman"/>
          <w:sz w:val="28"/>
          <w:szCs w:val="28"/>
        </w:rPr>
        <w:t xml:space="preserve"> </w:t>
      </w:r>
      <w:r w:rsidRPr="006309F9">
        <w:rPr>
          <w:rFonts w:ascii="Times New Roman" w:hAnsi="Times New Roman" w:cs="Times New Roman"/>
          <w:sz w:val="28"/>
          <w:szCs w:val="28"/>
        </w:rPr>
        <w:t>d.lgs. n. 118/2011</w:t>
      </w:r>
      <w:r w:rsidR="00356BA1">
        <w:rPr>
          <w:rFonts w:ascii="Times New Roman" w:hAnsi="Times New Roman" w:cs="Times New Roman"/>
          <w:sz w:val="28"/>
          <w:szCs w:val="28"/>
        </w:rPr>
        <w:t xml:space="preserve">), la cui </w:t>
      </w:r>
      <w:r w:rsidRPr="006309F9">
        <w:rPr>
          <w:rFonts w:ascii="Times New Roman" w:hAnsi="Times New Roman" w:cs="Times New Roman"/>
          <w:sz w:val="28"/>
          <w:szCs w:val="28"/>
        </w:rPr>
        <w:t>previsione risponde all’esigenza di verificare l’effettiva ricaduta d</w:t>
      </w:r>
      <w:r w:rsidR="000A0F8D">
        <w:rPr>
          <w:rFonts w:ascii="Times New Roman" w:hAnsi="Times New Roman" w:cs="Times New Roman"/>
          <w:sz w:val="28"/>
          <w:szCs w:val="28"/>
        </w:rPr>
        <w:t>elle gestioni esternalizzate sugli equilibri finanziari</w:t>
      </w:r>
      <w:r w:rsidR="00356BA1">
        <w:rPr>
          <w:rFonts w:ascii="Times New Roman" w:hAnsi="Times New Roman" w:cs="Times New Roman"/>
          <w:sz w:val="28"/>
          <w:szCs w:val="28"/>
        </w:rPr>
        <w:t xml:space="preserve"> degli enti proprietari (</w:t>
      </w:r>
      <w:r w:rsidRPr="006309F9">
        <w:rPr>
          <w:rFonts w:ascii="Times New Roman" w:hAnsi="Times New Roman" w:cs="Times New Roman"/>
          <w:sz w:val="28"/>
          <w:szCs w:val="28"/>
        </w:rPr>
        <w:t>esigenza particolarmente sentita</w:t>
      </w:r>
      <w:r w:rsidR="00D13630">
        <w:rPr>
          <w:rFonts w:ascii="Times New Roman" w:hAnsi="Times New Roman" w:cs="Times New Roman"/>
          <w:sz w:val="28"/>
          <w:szCs w:val="28"/>
        </w:rPr>
        <w:t xml:space="preserve">, dato l’ampio </w:t>
      </w:r>
      <w:r w:rsidRPr="006309F9">
        <w:rPr>
          <w:rFonts w:ascii="Times New Roman" w:hAnsi="Times New Roman" w:cs="Times New Roman"/>
          <w:sz w:val="28"/>
          <w:szCs w:val="28"/>
        </w:rPr>
        <w:t xml:space="preserve">universo </w:t>
      </w:r>
      <w:r w:rsidR="00D13630">
        <w:rPr>
          <w:rFonts w:ascii="Times New Roman" w:hAnsi="Times New Roman" w:cs="Times New Roman"/>
          <w:sz w:val="28"/>
          <w:szCs w:val="28"/>
        </w:rPr>
        <w:t xml:space="preserve">di soggetti e organismi di cui gli enti territoriali fanno uso, </w:t>
      </w:r>
      <w:r w:rsidRPr="006309F9">
        <w:rPr>
          <w:rFonts w:ascii="Times New Roman" w:hAnsi="Times New Roman" w:cs="Times New Roman"/>
          <w:sz w:val="28"/>
          <w:szCs w:val="28"/>
        </w:rPr>
        <w:t xml:space="preserve">costituito da </w:t>
      </w:r>
      <w:r w:rsidR="00356BA1" w:rsidRPr="006309F9">
        <w:rPr>
          <w:rFonts w:ascii="Times New Roman" w:hAnsi="Times New Roman" w:cs="Times New Roman"/>
          <w:sz w:val="28"/>
          <w:szCs w:val="28"/>
        </w:rPr>
        <w:t xml:space="preserve">enti strumentali, </w:t>
      </w:r>
      <w:r w:rsidRPr="006309F9">
        <w:rPr>
          <w:rFonts w:ascii="Times New Roman" w:hAnsi="Times New Roman" w:cs="Times New Roman"/>
          <w:sz w:val="28"/>
          <w:szCs w:val="28"/>
        </w:rPr>
        <w:t>aziende</w:t>
      </w:r>
      <w:r w:rsidR="00D13630">
        <w:rPr>
          <w:rFonts w:ascii="Times New Roman" w:hAnsi="Times New Roman" w:cs="Times New Roman"/>
          <w:sz w:val="28"/>
          <w:szCs w:val="28"/>
        </w:rPr>
        <w:t xml:space="preserve"> speciali</w:t>
      </w:r>
      <w:r w:rsidRPr="006309F9">
        <w:rPr>
          <w:rFonts w:ascii="Times New Roman" w:hAnsi="Times New Roman" w:cs="Times New Roman"/>
          <w:sz w:val="28"/>
          <w:szCs w:val="28"/>
        </w:rPr>
        <w:t>, società controllate e</w:t>
      </w:r>
      <w:r w:rsidR="00356BA1">
        <w:rPr>
          <w:rFonts w:ascii="Times New Roman" w:hAnsi="Times New Roman" w:cs="Times New Roman"/>
          <w:sz w:val="28"/>
          <w:szCs w:val="28"/>
        </w:rPr>
        <w:t xml:space="preserve"> </w:t>
      </w:r>
      <w:r w:rsidRPr="006309F9">
        <w:rPr>
          <w:rFonts w:ascii="Times New Roman" w:hAnsi="Times New Roman" w:cs="Times New Roman"/>
          <w:sz w:val="28"/>
          <w:szCs w:val="28"/>
        </w:rPr>
        <w:t>partecipate</w:t>
      </w:r>
      <w:r w:rsidR="00D13630">
        <w:rPr>
          <w:rFonts w:ascii="Times New Roman" w:hAnsi="Times New Roman" w:cs="Times New Roman"/>
          <w:sz w:val="28"/>
          <w:szCs w:val="28"/>
        </w:rPr>
        <w:t xml:space="preserve">, etc., cfr. </w:t>
      </w:r>
      <w:r w:rsidRPr="006309F9">
        <w:rPr>
          <w:rFonts w:ascii="Times New Roman" w:hAnsi="Times New Roman" w:cs="Times New Roman"/>
          <w:sz w:val="28"/>
          <w:szCs w:val="28"/>
        </w:rPr>
        <w:t>artt. 11-</w:t>
      </w:r>
      <w:r w:rsidRPr="005249C3">
        <w:rPr>
          <w:rFonts w:ascii="Times New Roman" w:hAnsi="Times New Roman" w:cs="Times New Roman"/>
          <w:i/>
          <w:sz w:val="28"/>
          <w:szCs w:val="28"/>
        </w:rPr>
        <w:t>ter</w:t>
      </w:r>
      <w:r w:rsidR="005249C3">
        <w:rPr>
          <w:rFonts w:ascii="Times New Roman" w:hAnsi="Times New Roman" w:cs="Times New Roman"/>
          <w:sz w:val="28"/>
          <w:szCs w:val="28"/>
        </w:rPr>
        <w:t>,</w:t>
      </w:r>
      <w:r w:rsidRPr="006309F9">
        <w:rPr>
          <w:rFonts w:ascii="Times New Roman" w:hAnsi="Times New Roman" w:cs="Times New Roman"/>
          <w:sz w:val="28"/>
          <w:szCs w:val="28"/>
        </w:rPr>
        <w:t xml:space="preserve"> </w:t>
      </w:r>
      <w:r w:rsidR="00356BA1">
        <w:rPr>
          <w:rFonts w:ascii="Times New Roman" w:hAnsi="Times New Roman" w:cs="Times New Roman"/>
          <w:sz w:val="28"/>
          <w:szCs w:val="28"/>
        </w:rPr>
        <w:t xml:space="preserve">e seguenti, </w:t>
      </w:r>
      <w:r w:rsidRPr="006309F9">
        <w:rPr>
          <w:rFonts w:ascii="Times New Roman" w:hAnsi="Times New Roman" w:cs="Times New Roman"/>
          <w:sz w:val="28"/>
          <w:szCs w:val="28"/>
        </w:rPr>
        <w:t>d.lgs. n. 118/2011).</w:t>
      </w:r>
      <w:r w:rsidR="00D13630">
        <w:rPr>
          <w:rFonts w:ascii="Times New Roman" w:hAnsi="Times New Roman" w:cs="Times New Roman"/>
          <w:sz w:val="28"/>
          <w:szCs w:val="28"/>
        </w:rPr>
        <w:t xml:space="preserve"> </w:t>
      </w:r>
      <w:r w:rsidR="005249C3">
        <w:rPr>
          <w:rFonts w:ascii="Times New Roman" w:hAnsi="Times New Roman" w:cs="Times New Roman"/>
          <w:sz w:val="28"/>
          <w:szCs w:val="28"/>
        </w:rPr>
        <w:t xml:space="preserve">Prima dell’attuazione </w:t>
      </w:r>
      <w:r w:rsidRPr="006309F9">
        <w:rPr>
          <w:rFonts w:ascii="Times New Roman" w:hAnsi="Times New Roman" w:cs="Times New Roman"/>
          <w:sz w:val="28"/>
          <w:szCs w:val="28"/>
        </w:rPr>
        <w:t xml:space="preserve">delle regole sul consolidamento, </w:t>
      </w:r>
      <w:r w:rsidR="005249C3">
        <w:rPr>
          <w:rFonts w:ascii="Times New Roman" w:hAnsi="Times New Roman" w:cs="Times New Roman"/>
          <w:sz w:val="28"/>
          <w:szCs w:val="28"/>
        </w:rPr>
        <w:t xml:space="preserve">gli enti territoriali hanno dovuto </w:t>
      </w:r>
      <w:r w:rsidRPr="006309F9">
        <w:rPr>
          <w:rFonts w:ascii="Times New Roman" w:hAnsi="Times New Roman" w:cs="Times New Roman"/>
          <w:sz w:val="28"/>
          <w:szCs w:val="28"/>
        </w:rPr>
        <w:t>procedere alla corretta applicazione delle disposizioni recate dall’art</w:t>
      </w:r>
      <w:r w:rsidR="005249C3">
        <w:rPr>
          <w:rFonts w:ascii="Times New Roman" w:hAnsi="Times New Roman" w:cs="Times New Roman"/>
          <w:sz w:val="28"/>
          <w:szCs w:val="28"/>
        </w:rPr>
        <w:t>. 1, c</w:t>
      </w:r>
      <w:r w:rsidR="00BC7CD0">
        <w:rPr>
          <w:rFonts w:ascii="Times New Roman" w:hAnsi="Times New Roman" w:cs="Times New Roman"/>
          <w:sz w:val="28"/>
          <w:szCs w:val="28"/>
        </w:rPr>
        <w:t>ommi 551</w:t>
      </w:r>
      <w:r w:rsidR="005249C3">
        <w:rPr>
          <w:rFonts w:ascii="Times New Roman" w:hAnsi="Times New Roman" w:cs="Times New Roman"/>
          <w:sz w:val="28"/>
          <w:szCs w:val="28"/>
        </w:rPr>
        <w:t xml:space="preserve"> e seguenti, della legge </w:t>
      </w:r>
      <w:r w:rsidRPr="006309F9">
        <w:rPr>
          <w:rFonts w:ascii="Times New Roman" w:hAnsi="Times New Roman" w:cs="Times New Roman"/>
          <w:sz w:val="28"/>
          <w:szCs w:val="28"/>
        </w:rPr>
        <w:t>n. 147/2013</w:t>
      </w:r>
      <w:r w:rsidR="005249C3">
        <w:rPr>
          <w:rFonts w:ascii="Times New Roman" w:hAnsi="Times New Roman" w:cs="Times New Roman"/>
          <w:sz w:val="28"/>
          <w:szCs w:val="28"/>
        </w:rPr>
        <w:t xml:space="preserve"> e dall’art. 21 del d.lgs. n. 175/2016</w:t>
      </w:r>
      <w:r w:rsidRPr="006309F9">
        <w:rPr>
          <w:rFonts w:ascii="Times New Roman" w:hAnsi="Times New Roman" w:cs="Times New Roman"/>
          <w:sz w:val="28"/>
          <w:szCs w:val="28"/>
        </w:rPr>
        <w:t>.</w:t>
      </w:r>
    </w:p>
    <w:p w14:paraId="440F7577" w14:textId="3D63B6A4" w:rsidR="00EE5D74" w:rsidRPr="006309F9" w:rsidRDefault="00EE5D74" w:rsidP="00EE5D74">
      <w:pPr>
        <w:pStyle w:val="Corpotesto"/>
        <w:spacing w:before="0" w:after="120"/>
        <w:jc w:val="both"/>
        <w:rPr>
          <w:rFonts w:ascii="Times New Roman" w:hAnsi="Times New Roman" w:cs="Times New Roman"/>
          <w:sz w:val="28"/>
          <w:szCs w:val="28"/>
        </w:rPr>
      </w:pPr>
      <w:r w:rsidRPr="0034269D">
        <w:rPr>
          <w:rFonts w:ascii="Times New Roman" w:hAnsi="Times New Roman" w:cs="Times New Roman"/>
          <w:sz w:val="28"/>
          <w:szCs w:val="28"/>
          <w:u w:val="single"/>
        </w:rPr>
        <w:t xml:space="preserve">Si tratta di norme dirette, da un lato, ad evitare che la mancata considerazione delle perdite eventualmente riportate dall’ente strumentale o </w:t>
      </w:r>
      <w:r w:rsidR="00D13630" w:rsidRPr="0034269D">
        <w:rPr>
          <w:rFonts w:ascii="Times New Roman" w:hAnsi="Times New Roman" w:cs="Times New Roman"/>
          <w:sz w:val="28"/>
          <w:szCs w:val="28"/>
          <w:u w:val="single"/>
        </w:rPr>
        <w:t>dalla società partecipata</w:t>
      </w:r>
      <w:r w:rsidRPr="0034269D">
        <w:rPr>
          <w:rFonts w:ascii="Times New Roman" w:hAnsi="Times New Roman" w:cs="Times New Roman"/>
          <w:sz w:val="28"/>
          <w:szCs w:val="28"/>
          <w:u w:val="single"/>
        </w:rPr>
        <w:t xml:space="preserve"> possa</w:t>
      </w:r>
      <w:r w:rsidR="003C57BA" w:rsidRPr="0034269D">
        <w:rPr>
          <w:rFonts w:ascii="Times New Roman" w:hAnsi="Times New Roman" w:cs="Times New Roman"/>
          <w:sz w:val="28"/>
          <w:szCs w:val="28"/>
          <w:u w:val="single"/>
        </w:rPr>
        <w:t>no</w:t>
      </w:r>
      <w:r w:rsidRPr="0034269D">
        <w:rPr>
          <w:rFonts w:ascii="Times New Roman" w:hAnsi="Times New Roman" w:cs="Times New Roman"/>
          <w:sz w:val="28"/>
          <w:szCs w:val="28"/>
          <w:u w:val="single"/>
        </w:rPr>
        <w:t xml:space="preserve"> incidere</w:t>
      </w:r>
      <w:r w:rsidR="00D13630" w:rsidRPr="0034269D">
        <w:rPr>
          <w:rFonts w:ascii="Times New Roman" w:hAnsi="Times New Roman" w:cs="Times New Roman"/>
          <w:sz w:val="28"/>
          <w:szCs w:val="28"/>
          <w:u w:val="single"/>
        </w:rPr>
        <w:t xml:space="preserve"> negativamente</w:t>
      </w:r>
      <w:r w:rsidR="003C57BA" w:rsidRPr="0034269D">
        <w:rPr>
          <w:rFonts w:ascii="Times New Roman" w:hAnsi="Times New Roman" w:cs="Times New Roman"/>
          <w:sz w:val="28"/>
          <w:szCs w:val="28"/>
          <w:u w:val="single"/>
        </w:rPr>
        <w:t>, ove necessitanti un ripiano finanziario da parte dell’amministrazione socia,</w:t>
      </w:r>
      <w:r w:rsidRPr="0034269D">
        <w:rPr>
          <w:rFonts w:ascii="Times New Roman" w:hAnsi="Times New Roman" w:cs="Times New Roman"/>
          <w:sz w:val="28"/>
          <w:szCs w:val="28"/>
          <w:u w:val="single"/>
        </w:rPr>
        <w:t xml:space="preserve"> sui futuri equilibri di bilancio</w:t>
      </w:r>
      <w:r>
        <w:rPr>
          <w:rFonts w:ascii="Times New Roman" w:hAnsi="Times New Roman" w:cs="Times New Roman"/>
          <w:sz w:val="28"/>
          <w:szCs w:val="28"/>
        </w:rPr>
        <w:t xml:space="preserve"> </w:t>
      </w:r>
      <w:r w:rsidRPr="0034269D">
        <w:rPr>
          <w:rFonts w:ascii="Times New Roman" w:hAnsi="Times New Roman" w:cs="Times New Roman"/>
          <w:sz w:val="28"/>
          <w:szCs w:val="28"/>
          <w:u w:val="single"/>
        </w:rPr>
        <w:t>e, dall’altro</w:t>
      </w:r>
      <w:r w:rsidR="003C57BA" w:rsidRPr="0034269D">
        <w:rPr>
          <w:rFonts w:ascii="Times New Roman" w:hAnsi="Times New Roman" w:cs="Times New Roman"/>
          <w:sz w:val="28"/>
          <w:szCs w:val="28"/>
          <w:u w:val="single"/>
        </w:rPr>
        <w:t>, soprattutto, indurre, indirettamente, a dismettere gli enti o le società in protratta perdita d’esercizio</w:t>
      </w:r>
      <w:r w:rsidR="003C57BA">
        <w:rPr>
          <w:rFonts w:ascii="Times New Roman" w:hAnsi="Times New Roman" w:cs="Times New Roman"/>
          <w:sz w:val="28"/>
          <w:szCs w:val="28"/>
        </w:rPr>
        <w:t>. L’obbligo di accantonare, nella parte spesa del bilancio dell’ente territoriale socio, un apposito fondo, parametrato alle perdite d’esercizio registrate da una società partecipata (o da un ente strumentale), a cui occorre fornire copertura con corrispondenti entrate (al fine di poter approvare, e mantenere, un bilancio di previsione in pareggio), irrigidisce, simmetricamente ed indistintamente, la capacità di spesa dell’ente socio</w:t>
      </w:r>
      <w:r w:rsidR="003C57BA">
        <w:rPr>
          <w:rStyle w:val="Rimandonotaapidipagina"/>
          <w:rFonts w:ascii="Times New Roman" w:hAnsi="Times New Roman" w:cs="Times New Roman"/>
          <w:sz w:val="28"/>
          <w:szCs w:val="28"/>
        </w:rPr>
        <w:footnoteReference w:id="98"/>
      </w:r>
      <w:r w:rsidR="003C57BA">
        <w:rPr>
          <w:rFonts w:ascii="Times New Roman" w:hAnsi="Times New Roman" w:cs="Times New Roman"/>
          <w:sz w:val="28"/>
          <w:szCs w:val="28"/>
        </w:rPr>
        <w:t xml:space="preserve"> (fino al momento in cui, dismettendo la partecipazione o ripianando la perdita, l’ente socio può </w:t>
      </w:r>
      <w:r w:rsidR="00D13630">
        <w:rPr>
          <w:rFonts w:ascii="Times New Roman" w:hAnsi="Times New Roman" w:cs="Times New Roman"/>
          <w:sz w:val="28"/>
          <w:szCs w:val="28"/>
        </w:rPr>
        <w:t xml:space="preserve">nuovamente </w:t>
      </w:r>
      <w:r w:rsidR="003C57BA">
        <w:rPr>
          <w:rFonts w:ascii="Times New Roman" w:hAnsi="Times New Roman" w:cs="Times New Roman"/>
          <w:sz w:val="28"/>
          <w:szCs w:val="28"/>
        </w:rPr>
        <w:t xml:space="preserve">espandere la capacità di spesa). </w:t>
      </w:r>
    </w:p>
    <w:p w14:paraId="3A2B1066" w14:textId="11C0C95E" w:rsidR="00585FC7" w:rsidRDefault="00BC7CD0" w:rsidP="00BC7CD0">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L’art. 21 del TUSP, riprendendo quanto disposto dal citato art. 1, commi 551 e seguenti, della legge n. 147/2013</w:t>
      </w:r>
      <w:r w:rsidR="00755DAC">
        <w:rPr>
          <w:rFonts w:ascii="Times New Roman" w:hAnsi="Times New Roman" w:cs="Times New Roman"/>
          <w:sz w:val="28"/>
          <w:szCs w:val="28"/>
        </w:rPr>
        <w:t xml:space="preserve"> (il cui contenuto precettivo è stato limitato, come area soggettiva di applicazione, ad aziende speciali ed istituzioni</w:t>
      </w:r>
      <w:r w:rsidR="00755DAC">
        <w:rPr>
          <w:rStyle w:val="Rimandonotaapidipagina"/>
          <w:rFonts w:ascii="Times New Roman" w:hAnsi="Times New Roman" w:cs="Times New Roman"/>
          <w:sz w:val="28"/>
          <w:szCs w:val="28"/>
        </w:rPr>
        <w:footnoteReference w:id="99"/>
      </w:r>
      <w:r w:rsidR="00755DAC">
        <w:rPr>
          <w:rFonts w:ascii="Times New Roman" w:hAnsi="Times New Roman" w:cs="Times New Roman"/>
          <w:sz w:val="28"/>
          <w:szCs w:val="28"/>
        </w:rPr>
        <w:t>) prescrive che, n</w:t>
      </w:r>
      <w:r w:rsidRPr="00BC7CD0">
        <w:rPr>
          <w:rFonts w:ascii="Times New Roman" w:hAnsi="Times New Roman" w:cs="Times New Roman"/>
          <w:sz w:val="28"/>
          <w:szCs w:val="28"/>
        </w:rPr>
        <w:t xml:space="preserve">el caso in cui società partecipate da </w:t>
      </w:r>
      <w:r w:rsidR="00755DAC">
        <w:rPr>
          <w:rFonts w:ascii="Times New Roman" w:hAnsi="Times New Roman" w:cs="Times New Roman"/>
          <w:sz w:val="28"/>
          <w:szCs w:val="28"/>
        </w:rPr>
        <w:t>“</w:t>
      </w:r>
      <w:r w:rsidRPr="00255F7C">
        <w:rPr>
          <w:rFonts w:ascii="Times New Roman" w:hAnsi="Times New Roman" w:cs="Times New Roman"/>
          <w:i/>
          <w:sz w:val="28"/>
          <w:szCs w:val="28"/>
        </w:rPr>
        <w:t>pubbliche amministrazioni locali comprese nell'elenco</w:t>
      </w:r>
      <w:r w:rsidR="00755DAC">
        <w:rPr>
          <w:rFonts w:ascii="Times New Roman" w:hAnsi="Times New Roman" w:cs="Times New Roman"/>
          <w:sz w:val="28"/>
          <w:szCs w:val="28"/>
        </w:rPr>
        <w:t>”</w:t>
      </w:r>
      <w:r w:rsidRPr="00BC7CD0">
        <w:rPr>
          <w:rFonts w:ascii="Times New Roman" w:hAnsi="Times New Roman" w:cs="Times New Roman"/>
          <w:sz w:val="28"/>
          <w:szCs w:val="28"/>
        </w:rPr>
        <w:t xml:space="preserve"> di cui all'articolo 1, comma 3, della legge n. 196</w:t>
      </w:r>
      <w:r w:rsidR="00755DAC">
        <w:rPr>
          <w:rFonts w:ascii="Times New Roman" w:hAnsi="Times New Roman" w:cs="Times New Roman"/>
          <w:sz w:val="28"/>
          <w:szCs w:val="28"/>
        </w:rPr>
        <w:t>/2009</w:t>
      </w:r>
      <w:r w:rsidR="00755DAC">
        <w:rPr>
          <w:rStyle w:val="Rimandonotaapidipagina"/>
          <w:rFonts w:ascii="Times New Roman" w:hAnsi="Times New Roman" w:cs="Times New Roman"/>
          <w:sz w:val="28"/>
          <w:szCs w:val="28"/>
        </w:rPr>
        <w:footnoteReference w:id="100"/>
      </w:r>
      <w:r w:rsidRPr="00BC7CD0">
        <w:rPr>
          <w:rFonts w:ascii="Times New Roman" w:hAnsi="Times New Roman" w:cs="Times New Roman"/>
          <w:sz w:val="28"/>
          <w:szCs w:val="28"/>
        </w:rPr>
        <w:t xml:space="preserve"> presentino un risultato di esercizio negativo, le amministrazioni locali </w:t>
      </w:r>
      <w:r w:rsidR="00D13630">
        <w:rPr>
          <w:rFonts w:ascii="Times New Roman" w:hAnsi="Times New Roman" w:cs="Times New Roman"/>
          <w:sz w:val="28"/>
          <w:szCs w:val="28"/>
        </w:rPr>
        <w:t>socie</w:t>
      </w:r>
      <w:r w:rsidRPr="00BC7CD0">
        <w:rPr>
          <w:rFonts w:ascii="Times New Roman" w:hAnsi="Times New Roman" w:cs="Times New Roman"/>
          <w:sz w:val="28"/>
          <w:szCs w:val="28"/>
        </w:rPr>
        <w:t xml:space="preserve"> che adot</w:t>
      </w:r>
      <w:r w:rsidR="00D13630">
        <w:rPr>
          <w:rFonts w:ascii="Times New Roman" w:hAnsi="Times New Roman" w:cs="Times New Roman"/>
          <w:sz w:val="28"/>
          <w:szCs w:val="28"/>
        </w:rPr>
        <w:t>tano la contabilità finanziaria</w:t>
      </w:r>
      <w:r w:rsidRPr="00BC7CD0">
        <w:rPr>
          <w:rFonts w:ascii="Times New Roman" w:hAnsi="Times New Roman" w:cs="Times New Roman"/>
          <w:sz w:val="28"/>
          <w:szCs w:val="28"/>
        </w:rPr>
        <w:t xml:space="preserve"> </w:t>
      </w:r>
      <w:r w:rsidR="00255F7C">
        <w:rPr>
          <w:rFonts w:ascii="Times New Roman" w:hAnsi="Times New Roman" w:cs="Times New Roman"/>
          <w:sz w:val="28"/>
          <w:szCs w:val="28"/>
        </w:rPr>
        <w:t>devono accantonare,</w:t>
      </w:r>
      <w:r w:rsidRPr="00BC7CD0">
        <w:rPr>
          <w:rFonts w:ascii="Times New Roman" w:hAnsi="Times New Roman" w:cs="Times New Roman"/>
          <w:sz w:val="28"/>
          <w:szCs w:val="28"/>
        </w:rPr>
        <w:t xml:space="preserve"> nell'anno successivo</w:t>
      </w:r>
      <w:r w:rsidR="00255F7C">
        <w:rPr>
          <w:rStyle w:val="Rimandonotaapidipagina"/>
          <w:rFonts w:ascii="Times New Roman" w:hAnsi="Times New Roman" w:cs="Times New Roman"/>
          <w:sz w:val="28"/>
          <w:szCs w:val="28"/>
        </w:rPr>
        <w:footnoteReference w:id="101"/>
      </w:r>
      <w:r w:rsidR="00255F7C">
        <w:rPr>
          <w:rFonts w:ascii="Times New Roman" w:hAnsi="Times New Roman" w:cs="Times New Roman"/>
          <w:sz w:val="28"/>
          <w:szCs w:val="28"/>
        </w:rPr>
        <w:t>,</w:t>
      </w:r>
      <w:r w:rsidRPr="00BC7CD0">
        <w:rPr>
          <w:rFonts w:ascii="Times New Roman" w:hAnsi="Times New Roman" w:cs="Times New Roman"/>
          <w:sz w:val="28"/>
          <w:szCs w:val="28"/>
        </w:rPr>
        <w:t xml:space="preserve"> in apposito fondo vincolato un importo pari al risultato negativo non immediatamente ripianato, in misura proporzionale alla quota di partecipazione</w:t>
      </w:r>
      <w:r w:rsidR="00597699">
        <w:rPr>
          <w:rStyle w:val="Rimandonotaapidipagina"/>
          <w:rFonts w:ascii="Times New Roman" w:hAnsi="Times New Roman" w:cs="Times New Roman"/>
          <w:sz w:val="28"/>
          <w:szCs w:val="28"/>
        </w:rPr>
        <w:footnoteReference w:id="102"/>
      </w:r>
      <w:r w:rsidRPr="00BC7CD0">
        <w:rPr>
          <w:rFonts w:ascii="Times New Roman" w:hAnsi="Times New Roman" w:cs="Times New Roman"/>
          <w:sz w:val="28"/>
          <w:szCs w:val="28"/>
        </w:rPr>
        <w:t xml:space="preserve">. </w:t>
      </w:r>
      <w:r w:rsidR="00D13630">
        <w:rPr>
          <w:rFonts w:ascii="Times New Roman" w:hAnsi="Times New Roman" w:cs="Times New Roman"/>
          <w:sz w:val="28"/>
          <w:szCs w:val="28"/>
        </w:rPr>
        <w:t>Allo stesso modo</w:t>
      </w:r>
      <w:r w:rsidR="00585FC7">
        <w:rPr>
          <w:rFonts w:ascii="Times New Roman" w:hAnsi="Times New Roman" w:cs="Times New Roman"/>
          <w:sz w:val="28"/>
          <w:szCs w:val="28"/>
        </w:rPr>
        <w:t>, l</w:t>
      </w:r>
      <w:r w:rsidRPr="00BC7CD0">
        <w:rPr>
          <w:rFonts w:ascii="Times New Roman" w:hAnsi="Times New Roman" w:cs="Times New Roman"/>
          <w:sz w:val="28"/>
          <w:szCs w:val="28"/>
        </w:rPr>
        <w:t xml:space="preserve">e pubbliche amministrazioni locali che adottano la contabilità civilistica </w:t>
      </w:r>
      <w:r w:rsidR="00585FC7">
        <w:rPr>
          <w:rFonts w:ascii="Times New Roman" w:hAnsi="Times New Roman" w:cs="Times New Roman"/>
          <w:sz w:val="28"/>
          <w:szCs w:val="28"/>
        </w:rPr>
        <w:t xml:space="preserve">(economico-patrimoniale) devono </w:t>
      </w:r>
      <w:r w:rsidRPr="00BC7CD0">
        <w:rPr>
          <w:rFonts w:ascii="Times New Roman" w:hAnsi="Times New Roman" w:cs="Times New Roman"/>
          <w:sz w:val="28"/>
          <w:szCs w:val="28"/>
        </w:rPr>
        <w:t>adegua</w:t>
      </w:r>
      <w:r w:rsidR="00585FC7">
        <w:rPr>
          <w:rFonts w:ascii="Times New Roman" w:hAnsi="Times New Roman" w:cs="Times New Roman"/>
          <w:sz w:val="28"/>
          <w:szCs w:val="28"/>
        </w:rPr>
        <w:t>re</w:t>
      </w:r>
      <w:r w:rsidRPr="00BC7CD0">
        <w:rPr>
          <w:rFonts w:ascii="Times New Roman" w:hAnsi="Times New Roman" w:cs="Times New Roman"/>
          <w:sz w:val="28"/>
          <w:szCs w:val="28"/>
        </w:rPr>
        <w:t xml:space="preserve"> il valore della partecipazione</w:t>
      </w:r>
      <w:r w:rsidR="00585FC7">
        <w:rPr>
          <w:rFonts w:ascii="Times New Roman" w:hAnsi="Times New Roman" w:cs="Times New Roman"/>
          <w:sz w:val="28"/>
          <w:szCs w:val="28"/>
        </w:rPr>
        <w:t xml:space="preserve"> (da iscrivere come immobilizzazione finanziaria nell’attivo dello stato patrimoniale</w:t>
      </w:r>
      <w:r w:rsidR="00585FC7">
        <w:rPr>
          <w:rStyle w:val="Rimandonotaapidipagina"/>
          <w:rFonts w:ascii="Times New Roman" w:hAnsi="Times New Roman" w:cs="Times New Roman"/>
          <w:sz w:val="28"/>
          <w:szCs w:val="28"/>
        </w:rPr>
        <w:footnoteReference w:id="103"/>
      </w:r>
      <w:r w:rsidR="00585FC7">
        <w:rPr>
          <w:rFonts w:ascii="Times New Roman" w:hAnsi="Times New Roman" w:cs="Times New Roman"/>
          <w:sz w:val="28"/>
          <w:szCs w:val="28"/>
        </w:rPr>
        <w:t>)</w:t>
      </w:r>
      <w:r w:rsidRPr="00BC7CD0">
        <w:rPr>
          <w:rFonts w:ascii="Times New Roman" w:hAnsi="Times New Roman" w:cs="Times New Roman"/>
          <w:sz w:val="28"/>
          <w:szCs w:val="28"/>
        </w:rPr>
        <w:t xml:space="preserve">, nel corso dell'esercizio successivo, all'importo </w:t>
      </w:r>
      <w:r w:rsidR="00D13630">
        <w:rPr>
          <w:rFonts w:ascii="Times New Roman" w:hAnsi="Times New Roman" w:cs="Times New Roman"/>
          <w:sz w:val="28"/>
          <w:szCs w:val="28"/>
        </w:rPr>
        <w:t>corrispondente alla frazione di</w:t>
      </w:r>
      <w:r w:rsidRPr="00BC7CD0">
        <w:rPr>
          <w:rFonts w:ascii="Times New Roman" w:hAnsi="Times New Roman" w:cs="Times New Roman"/>
          <w:sz w:val="28"/>
          <w:szCs w:val="28"/>
        </w:rPr>
        <w:t xml:space="preserve"> patrimonio netto della società partecipata</w:t>
      </w:r>
      <w:r w:rsidR="00585FC7">
        <w:rPr>
          <w:rFonts w:ascii="Times New Roman" w:hAnsi="Times New Roman" w:cs="Times New Roman"/>
          <w:sz w:val="28"/>
          <w:szCs w:val="28"/>
        </w:rPr>
        <w:t xml:space="preserve"> che ha registrato la perdita</w:t>
      </w:r>
      <w:r w:rsidR="00585FC7">
        <w:rPr>
          <w:rStyle w:val="Rimandonotaapidipagina"/>
          <w:rFonts w:ascii="Times New Roman" w:hAnsi="Times New Roman" w:cs="Times New Roman"/>
          <w:sz w:val="28"/>
          <w:szCs w:val="28"/>
        </w:rPr>
        <w:footnoteReference w:id="104"/>
      </w:r>
      <w:r w:rsidR="00585FC7">
        <w:rPr>
          <w:rFonts w:ascii="Times New Roman" w:hAnsi="Times New Roman" w:cs="Times New Roman"/>
          <w:sz w:val="28"/>
          <w:szCs w:val="28"/>
        </w:rPr>
        <w:t>,</w:t>
      </w:r>
      <w:r w:rsidRPr="00BC7CD0">
        <w:rPr>
          <w:rFonts w:ascii="Times New Roman" w:hAnsi="Times New Roman" w:cs="Times New Roman"/>
          <w:sz w:val="28"/>
          <w:szCs w:val="28"/>
        </w:rPr>
        <w:t xml:space="preserve"> ove </w:t>
      </w:r>
      <w:bookmarkStart w:id="10" w:name="_Hlk533846834"/>
      <w:r w:rsidRPr="00BC7CD0">
        <w:rPr>
          <w:rFonts w:ascii="Times New Roman" w:hAnsi="Times New Roman" w:cs="Times New Roman"/>
          <w:sz w:val="28"/>
          <w:szCs w:val="28"/>
        </w:rPr>
        <w:t>il risultato negativo non venga immediatamente ripianato e costituisca perdita durevole di valore</w:t>
      </w:r>
      <w:bookmarkEnd w:id="10"/>
      <w:r w:rsidR="00585FC7">
        <w:rPr>
          <w:rStyle w:val="Rimandonotaapidipagina"/>
          <w:rFonts w:ascii="Times New Roman" w:hAnsi="Times New Roman" w:cs="Times New Roman"/>
          <w:sz w:val="28"/>
          <w:szCs w:val="28"/>
        </w:rPr>
        <w:footnoteReference w:id="105"/>
      </w:r>
      <w:r w:rsidRPr="00BC7CD0">
        <w:rPr>
          <w:rFonts w:ascii="Times New Roman" w:hAnsi="Times New Roman" w:cs="Times New Roman"/>
          <w:sz w:val="28"/>
          <w:szCs w:val="28"/>
        </w:rPr>
        <w:t xml:space="preserve">. </w:t>
      </w:r>
    </w:p>
    <w:p w14:paraId="699C9A4B" w14:textId="21BC409D" w:rsidR="005556D6" w:rsidRDefault="005556D6" w:rsidP="00BC7CD0">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L’art. 21 del TUSP contiene, altresì, varie puntualizzazioni in ordine alla precisa quantificazione dell’accantonamento da effettuare in rapporto alla tipologia di “</w:t>
      </w:r>
      <w:r w:rsidRPr="004955FF">
        <w:rPr>
          <w:rFonts w:ascii="Times New Roman" w:hAnsi="Times New Roman" w:cs="Times New Roman"/>
          <w:i/>
          <w:iCs/>
          <w:sz w:val="28"/>
          <w:szCs w:val="28"/>
        </w:rPr>
        <w:t>perdita di esercizio</w:t>
      </w:r>
      <w:r>
        <w:rPr>
          <w:rFonts w:ascii="Times New Roman" w:hAnsi="Times New Roman" w:cs="Times New Roman"/>
          <w:sz w:val="28"/>
          <w:szCs w:val="28"/>
        </w:rPr>
        <w:t xml:space="preserve">” da prendere in considerazione. </w:t>
      </w:r>
      <w:r w:rsidR="009C29FD">
        <w:rPr>
          <w:rFonts w:ascii="Times New Roman" w:hAnsi="Times New Roman" w:cs="Times New Roman"/>
          <w:sz w:val="28"/>
          <w:szCs w:val="28"/>
        </w:rPr>
        <w:t>I</w:t>
      </w:r>
      <w:r>
        <w:rPr>
          <w:rFonts w:ascii="Times New Roman" w:hAnsi="Times New Roman" w:cs="Times New Roman"/>
          <w:sz w:val="28"/>
          <w:szCs w:val="28"/>
        </w:rPr>
        <w:t>n primo luogo, p</w:t>
      </w:r>
      <w:r w:rsidR="00BC7CD0" w:rsidRPr="00BC7CD0">
        <w:rPr>
          <w:rFonts w:ascii="Times New Roman" w:hAnsi="Times New Roman" w:cs="Times New Roman"/>
          <w:sz w:val="28"/>
          <w:szCs w:val="28"/>
        </w:rPr>
        <w:t xml:space="preserve">er le società che redigono il bilancio consolidato, il risultato di esercizio è quello relativo a tale </w:t>
      </w:r>
      <w:r>
        <w:rPr>
          <w:rFonts w:ascii="Times New Roman" w:hAnsi="Times New Roman" w:cs="Times New Roman"/>
          <w:sz w:val="28"/>
          <w:szCs w:val="28"/>
        </w:rPr>
        <w:t xml:space="preserve">ultimo </w:t>
      </w:r>
      <w:r w:rsidR="00BC7CD0" w:rsidRPr="00BC7CD0">
        <w:rPr>
          <w:rFonts w:ascii="Times New Roman" w:hAnsi="Times New Roman" w:cs="Times New Roman"/>
          <w:sz w:val="28"/>
          <w:szCs w:val="28"/>
        </w:rPr>
        <w:t xml:space="preserve">bilancio. </w:t>
      </w:r>
      <w:r>
        <w:rPr>
          <w:rFonts w:ascii="Times New Roman" w:hAnsi="Times New Roman" w:cs="Times New Roman"/>
          <w:sz w:val="28"/>
          <w:szCs w:val="28"/>
        </w:rPr>
        <w:t>Invece, l</w:t>
      </w:r>
      <w:r w:rsidR="00BC7CD0" w:rsidRPr="00BC7CD0">
        <w:rPr>
          <w:rFonts w:ascii="Times New Roman" w:hAnsi="Times New Roman" w:cs="Times New Roman"/>
          <w:sz w:val="28"/>
          <w:szCs w:val="28"/>
        </w:rPr>
        <w:t xml:space="preserve">imitatamente alle società che svolgono servizi pubblici a rete di rilevanza economica, per risultato si intende la </w:t>
      </w:r>
      <w:r w:rsidR="009C29FD">
        <w:rPr>
          <w:rFonts w:ascii="Times New Roman" w:hAnsi="Times New Roman" w:cs="Times New Roman"/>
          <w:sz w:val="28"/>
          <w:szCs w:val="28"/>
        </w:rPr>
        <w:t xml:space="preserve">sola </w:t>
      </w:r>
      <w:r w:rsidR="00BC7CD0" w:rsidRPr="00BC7CD0">
        <w:rPr>
          <w:rFonts w:ascii="Times New Roman" w:hAnsi="Times New Roman" w:cs="Times New Roman"/>
          <w:sz w:val="28"/>
          <w:szCs w:val="28"/>
        </w:rPr>
        <w:t>differenza tra valore e costi della produzione</w:t>
      </w:r>
      <w:r w:rsidR="009C29FD">
        <w:rPr>
          <w:rFonts w:ascii="Times New Roman" w:hAnsi="Times New Roman" w:cs="Times New Roman"/>
          <w:sz w:val="28"/>
          <w:szCs w:val="28"/>
        </w:rPr>
        <w:t>,</w:t>
      </w:r>
      <w:r w:rsidR="00BC7CD0" w:rsidRPr="00BC7CD0">
        <w:rPr>
          <w:rFonts w:ascii="Times New Roman" w:hAnsi="Times New Roman" w:cs="Times New Roman"/>
          <w:sz w:val="28"/>
          <w:szCs w:val="28"/>
        </w:rPr>
        <w:t xml:space="preserve"> ai sensi dell'articolo 2425 del </w:t>
      </w:r>
      <w:proofErr w:type="gramStart"/>
      <w:r w:rsidR="00BC7CD0" w:rsidRPr="00BC7CD0">
        <w:rPr>
          <w:rFonts w:ascii="Times New Roman" w:hAnsi="Times New Roman" w:cs="Times New Roman"/>
          <w:sz w:val="28"/>
          <w:szCs w:val="28"/>
        </w:rPr>
        <w:t>codice civile</w:t>
      </w:r>
      <w:proofErr w:type="gramEnd"/>
      <w:r w:rsidR="006B5353">
        <w:rPr>
          <w:rStyle w:val="Rimandonotaapidipagina"/>
          <w:rFonts w:ascii="Times New Roman" w:hAnsi="Times New Roman" w:cs="Times New Roman"/>
          <w:sz w:val="28"/>
          <w:szCs w:val="28"/>
        </w:rPr>
        <w:footnoteReference w:id="106"/>
      </w:r>
      <w:r w:rsidR="00BC7CD0" w:rsidRPr="00BC7CD0">
        <w:rPr>
          <w:rFonts w:ascii="Times New Roman" w:hAnsi="Times New Roman" w:cs="Times New Roman"/>
          <w:sz w:val="28"/>
          <w:szCs w:val="28"/>
        </w:rPr>
        <w:t>.</w:t>
      </w:r>
      <w:r>
        <w:rPr>
          <w:rFonts w:ascii="Times New Roman" w:hAnsi="Times New Roman" w:cs="Times New Roman"/>
          <w:sz w:val="28"/>
          <w:szCs w:val="28"/>
        </w:rPr>
        <w:t xml:space="preserve"> </w:t>
      </w:r>
      <w:r w:rsidR="009C29FD">
        <w:rPr>
          <w:rFonts w:ascii="Times New Roman" w:hAnsi="Times New Roman" w:cs="Times New Roman"/>
          <w:sz w:val="28"/>
          <w:szCs w:val="28"/>
        </w:rPr>
        <w:t>Infine, anche se la norma non lo</w:t>
      </w:r>
      <w:r>
        <w:rPr>
          <w:rFonts w:ascii="Times New Roman" w:hAnsi="Times New Roman" w:cs="Times New Roman"/>
          <w:sz w:val="28"/>
          <w:szCs w:val="28"/>
        </w:rPr>
        <w:t xml:space="preserve"> esplicita, </w:t>
      </w:r>
      <w:r w:rsidR="006B5353">
        <w:rPr>
          <w:rFonts w:ascii="Times New Roman" w:hAnsi="Times New Roman" w:cs="Times New Roman"/>
          <w:sz w:val="28"/>
          <w:szCs w:val="28"/>
        </w:rPr>
        <w:t xml:space="preserve">per tutte le altre società (per esempio, quelle c.d. strumentali </w:t>
      </w:r>
      <w:r w:rsidR="009C29FD">
        <w:rPr>
          <w:rFonts w:ascii="Times New Roman" w:hAnsi="Times New Roman" w:cs="Times New Roman"/>
          <w:sz w:val="28"/>
          <w:szCs w:val="28"/>
        </w:rPr>
        <w:t xml:space="preserve">o </w:t>
      </w:r>
      <w:r w:rsidR="006B5353">
        <w:rPr>
          <w:rFonts w:ascii="Times New Roman" w:hAnsi="Times New Roman" w:cs="Times New Roman"/>
          <w:sz w:val="28"/>
          <w:szCs w:val="28"/>
        </w:rPr>
        <w:t>che erogano servizi pubblici non a rete)</w:t>
      </w:r>
      <w:r w:rsidR="00BC7CD0" w:rsidRPr="00BC7CD0">
        <w:rPr>
          <w:rFonts w:ascii="Times New Roman" w:hAnsi="Times New Roman" w:cs="Times New Roman"/>
          <w:sz w:val="28"/>
          <w:szCs w:val="28"/>
        </w:rPr>
        <w:t xml:space="preserve"> </w:t>
      </w:r>
      <w:r w:rsidR="006B5353">
        <w:rPr>
          <w:rFonts w:ascii="Times New Roman" w:hAnsi="Times New Roman" w:cs="Times New Roman"/>
          <w:sz w:val="28"/>
          <w:szCs w:val="28"/>
        </w:rPr>
        <w:t>il risultato d’esercizio da prendere in considerazione è quello finale al lordo delle imposte</w:t>
      </w:r>
      <w:r w:rsidR="006B5353">
        <w:rPr>
          <w:rStyle w:val="Rimandonotaapidipagina"/>
          <w:rFonts w:ascii="Times New Roman" w:hAnsi="Times New Roman" w:cs="Times New Roman"/>
          <w:sz w:val="28"/>
          <w:szCs w:val="28"/>
        </w:rPr>
        <w:footnoteReference w:id="107"/>
      </w:r>
      <w:r w:rsidR="006B5353">
        <w:rPr>
          <w:rFonts w:ascii="Times New Roman" w:hAnsi="Times New Roman" w:cs="Times New Roman"/>
          <w:sz w:val="28"/>
          <w:szCs w:val="28"/>
        </w:rPr>
        <w:t xml:space="preserve">. </w:t>
      </w:r>
    </w:p>
    <w:p w14:paraId="70275CB1" w14:textId="7C6C52E3" w:rsidR="00BC7CD0" w:rsidRPr="00BC7CD0" w:rsidRDefault="006B5353" w:rsidP="00BC7CD0">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L’importo accantonato può essere</w:t>
      </w:r>
      <w:r w:rsidR="00BC7CD0" w:rsidRPr="00BC7CD0">
        <w:rPr>
          <w:rFonts w:ascii="Times New Roman" w:hAnsi="Times New Roman" w:cs="Times New Roman"/>
          <w:sz w:val="28"/>
          <w:szCs w:val="28"/>
        </w:rPr>
        <w:t xml:space="preserve"> reso </w:t>
      </w:r>
      <w:r>
        <w:rPr>
          <w:rFonts w:ascii="Times New Roman" w:hAnsi="Times New Roman" w:cs="Times New Roman"/>
          <w:sz w:val="28"/>
          <w:szCs w:val="28"/>
        </w:rPr>
        <w:t xml:space="preserve">nuovamente </w:t>
      </w:r>
      <w:r w:rsidR="00BC7CD0" w:rsidRPr="00BC7CD0">
        <w:rPr>
          <w:rFonts w:ascii="Times New Roman" w:hAnsi="Times New Roman" w:cs="Times New Roman"/>
          <w:sz w:val="28"/>
          <w:szCs w:val="28"/>
        </w:rPr>
        <w:t xml:space="preserve">disponibile </w:t>
      </w:r>
      <w:r>
        <w:rPr>
          <w:rFonts w:ascii="Times New Roman" w:hAnsi="Times New Roman" w:cs="Times New Roman"/>
          <w:sz w:val="28"/>
          <w:szCs w:val="28"/>
        </w:rPr>
        <w:t>al bilancio</w:t>
      </w:r>
      <w:r w:rsidR="00BC7CD0" w:rsidRPr="00BC7CD0">
        <w:rPr>
          <w:rFonts w:ascii="Times New Roman" w:hAnsi="Times New Roman" w:cs="Times New Roman"/>
          <w:sz w:val="28"/>
          <w:szCs w:val="28"/>
        </w:rPr>
        <w:t xml:space="preserve"> nel caso in cu</w:t>
      </w:r>
      <w:r>
        <w:rPr>
          <w:rFonts w:ascii="Times New Roman" w:hAnsi="Times New Roman" w:cs="Times New Roman"/>
          <w:sz w:val="28"/>
          <w:szCs w:val="28"/>
        </w:rPr>
        <w:t>i l’</w:t>
      </w:r>
      <w:r w:rsidR="00BC7CD0" w:rsidRPr="00BC7CD0">
        <w:rPr>
          <w:rFonts w:ascii="Times New Roman" w:hAnsi="Times New Roman" w:cs="Times New Roman"/>
          <w:sz w:val="28"/>
          <w:szCs w:val="28"/>
        </w:rPr>
        <w:t>ente</w:t>
      </w:r>
      <w:r>
        <w:rPr>
          <w:rFonts w:ascii="Times New Roman" w:hAnsi="Times New Roman" w:cs="Times New Roman"/>
          <w:sz w:val="28"/>
          <w:szCs w:val="28"/>
        </w:rPr>
        <w:t xml:space="preserve"> socio</w:t>
      </w:r>
      <w:r w:rsidR="00BC7CD0" w:rsidRPr="00BC7CD0">
        <w:rPr>
          <w:rFonts w:ascii="Times New Roman" w:hAnsi="Times New Roman" w:cs="Times New Roman"/>
          <w:sz w:val="28"/>
          <w:szCs w:val="28"/>
        </w:rPr>
        <w:t xml:space="preserve"> ripiani la perdita di esercizio</w:t>
      </w:r>
      <w:r w:rsidR="007F3A97">
        <w:rPr>
          <w:rStyle w:val="Rimandonotaapidipagina"/>
          <w:rFonts w:ascii="Times New Roman" w:hAnsi="Times New Roman" w:cs="Times New Roman"/>
          <w:sz w:val="28"/>
          <w:szCs w:val="28"/>
        </w:rPr>
        <w:footnoteReference w:id="108"/>
      </w:r>
      <w:r>
        <w:rPr>
          <w:rFonts w:ascii="Times New Roman" w:hAnsi="Times New Roman" w:cs="Times New Roman"/>
          <w:sz w:val="28"/>
          <w:szCs w:val="28"/>
        </w:rPr>
        <w:t>,</w:t>
      </w:r>
      <w:r w:rsidR="00BC7CD0" w:rsidRPr="00BC7CD0">
        <w:rPr>
          <w:rFonts w:ascii="Times New Roman" w:hAnsi="Times New Roman" w:cs="Times New Roman"/>
          <w:sz w:val="28"/>
          <w:szCs w:val="28"/>
        </w:rPr>
        <w:t xml:space="preserve"> dismetta la partecipazione o il soggetto partecipato sia posto in liquidazione</w:t>
      </w:r>
      <w:r>
        <w:rPr>
          <w:rFonts w:ascii="Times New Roman" w:hAnsi="Times New Roman" w:cs="Times New Roman"/>
          <w:sz w:val="28"/>
          <w:szCs w:val="28"/>
        </w:rPr>
        <w:t xml:space="preserve"> (sia per decisione volontaria dei soci</w:t>
      </w:r>
      <w:r w:rsidR="007F3A97">
        <w:rPr>
          <w:rFonts w:ascii="Times New Roman" w:hAnsi="Times New Roman" w:cs="Times New Roman"/>
          <w:sz w:val="28"/>
          <w:szCs w:val="28"/>
        </w:rPr>
        <w:t xml:space="preserve"> che a seguito, per esempio, di una dichiarazione di fallimento)</w:t>
      </w:r>
      <w:r w:rsidR="007F3A97">
        <w:rPr>
          <w:rStyle w:val="Rimandonotaapidipagina"/>
          <w:rFonts w:ascii="Times New Roman" w:hAnsi="Times New Roman" w:cs="Times New Roman"/>
          <w:sz w:val="28"/>
          <w:szCs w:val="28"/>
        </w:rPr>
        <w:footnoteReference w:id="109"/>
      </w:r>
      <w:r w:rsidR="00BC7CD0" w:rsidRPr="00BC7CD0">
        <w:rPr>
          <w:rFonts w:ascii="Times New Roman" w:hAnsi="Times New Roman" w:cs="Times New Roman"/>
          <w:sz w:val="28"/>
          <w:szCs w:val="28"/>
        </w:rPr>
        <w:t xml:space="preserve">. </w:t>
      </w:r>
    </w:p>
    <w:p w14:paraId="311BD595" w14:textId="12C0F270" w:rsidR="00BC7CD0" w:rsidRPr="00BC7CD0" w:rsidRDefault="007F3A97" w:rsidP="00BC7CD0">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 xml:space="preserve">L’art. 21, comma </w:t>
      </w:r>
      <w:r w:rsidR="00BC7CD0" w:rsidRPr="00BC7CD0">
        <w:rPr>
          <w:rFonts w:ascii="Times New Roman" w:hAnsi="Times New Roman" w:cs="Times New Roman"/>
          <w:sz w:val="28"/>
          <w:szCs w:val="28"/>
        </w:rPr>
        <w:t>2</w:t>
      </w:r>
      <w:r>
        <w:rPr>
          <w:rFonts w:ascii="Times New Roman" w:hAnsi="Times New Roman" w:cs="Times New Roman"/>
          <w:sz w:val="28"/>
          <w:szCs w:val="28"/>
        </w:rPr>
        <w:t>, precisa che g</w:t>
      </w:r>
      <w:r w:rsidR="00BC7CD0" w:rsidRPr="00BC7CD0">
        <w:rPr>
          <w:rFonts w:ascii="Times New Roman" w:hAnsi="Times New Roman" w:cs="Times New Roman"/>
          <w:sz w:val="28"/>
          <w:szCs w:val="28"/>
        </w:rPr>
        <w:t xml:space="preserve">li accantonamenti </w:t>
      </w:r>
      <w:r w:rsidR="00EE5D74">
        <w:rPr>
          <w:rFonts w:ascii="Times New Roman" w:hAnsi="Times New Roman" w:cs="Times New Roman"/>
          <w:sz w:val="28"/>
          <w:szCs w:val="28"/>
        </w:rPr>
        <w:t xml:space="preserve">in parola </w:t>
      </w:r>
      <w:r>
        <w:rPr>
          <w:rFonts w:ascii="Times New Roman" w:hAnsi="Times New Roman" w:cs="Times New Roman"/>
          <w:sz w:val="28"/>
          <w:szCs w:val="28"/>
        </w:rPr>
        <w:t>si applicano a decorrere dall’</w:t>
      </w:r>
      <w:r w:rsidR="00BC7CD0" w:rsidRPr="00BC7CD0">
        <w:rPr>
          <w:rFonts w:ascii="Times New Roman" w:hAnsi="Times New Roman" w:cs="Times New Roman"/>
          <w:sz w:val="28"/>
          <w:szCs w:val="28"/>
        </w:rPr>
        <w:t xml:space="preserve">anno 2015. </w:t>
      </w:r>
      <w:r w:rsidR="009C29FD">
        <w:rPr>
          <w:rFonts w:ascii="Times New Roman" w:hAnsi="Times New Roman" w:cs="Times New Roman"/>
          <w:sz w:val="28"/>
          <w:szCs w:val="28"/>
        </w:rPr>
        <w:t>Tuttavia</w:t>
      </w:r>
      <w:r>
        <w:rPr>
          <w:rFonts w:ascii="Times New Roman" w:hAnsi="Times New Roman" w:cs="Times New Roman"/>
          <w:sz w:val="28"/>
          <w:szCs w:val="28"/>
        </w:rPr>
        <w:t>, i</w:t>
      </w:r>
      <w:r w:rsidR="00BC7CD0" w:rsidRPr="00BC7CD0">
        <w:rPr>
          <w:rFonts w:ascii="Times New Roman" w:hAnsi="Times New Roman" w:cs="Times New Roman"/>
          <w:sz w:val="28"/>
          <w:szCs w:val="28"/>
        </w:rPr>
        <w:t xml:space="preserve">n sede di prima applicazione, </w:t>
      </w:r>
      <w:r w:rsidR="00B66952">
        <w:rPr>
          <w:rFonts w:ascii="Times New Roman" w:hAnsi="Times New Roman" w:cs="Times New Roman"/>
          <w:sz w:val="28"/>
          <w:szCs w:val="28"/>
        </w:rPr>
        <w:t xml:space="preserve">per gli anni 2015, 2016 e 2017, </w:t>
      </w:r>
      <w:r w:rsidR="00EE5D74">
        <w:rPr>
          <w:rFonts w:ascii="Times New Roman" w:hAnsi="Times New Roman" w:cs="Times New Roman"/>
          <w:sz w:val="28"/>
          <w:szCs w:val="28"/>
        </w:rPr>
        <w:t xml:space="preserve">per gli enti territoriali che adottano la </w:t>
      </w:r>
      <w:r w:rsidR="00BC7CD0" w:rsidRPr="00BC7CD0">
        <w:rPr>
          <w:rFonts w:ascii="Times New Roman" w:hAnsi="Times New Roman" w:cs="Times New Roman"/>
          <w:sz w:val="28"/>
          <w:szCs w:val="28"/>
        </w:rPr>
        <w:t>contabilità finanziaria</w:t>
      </w:r>
      <w:r>
        <w:rPr>
          <w:rFonts w:ascii="Times New Roman" w:hAnsi="Times New Roman" w:cs="Times New Roman"/>
          <w:sz w:val="28"/>
          <w:szCs w:val="28"/>
        </w:rPr>
        <w:t xml:space="preserve">, la norma prevede un percorso di graduale </w:t>
      </w:r>
      <w:r w:rsidR="00EE5D74">
        <w:rPr>
          <w:rFonts w:ascii="Times New Roman" w:hAnsi="Times New Roman" w:cs="Times New Roman"/>
          <w:sz w:val="28"/>
          <w:szCs w:val="28"/>
        </w:rPr>
        <w:t>applicazione dell’obbligo normativo</w:t>
      </w:r>
      <w:r w:rsidR="00EE5D74">
        <w:rPr>
          <w:rStyle w:val="Rimandonotaapidipagina"/>
          <w:rFonts w:ascii="Times New Roman" w:hAnsi="Times New Roman" w:cs="Times New Roman"/>
          <w:sz w:val="28"/>
          <w:szCs w:val="28"/>
        </w:rPr>
        <w:footnoteReference w:id="110"/>
      </w:r>
      <w:r w:rsidR="00EE5D74">
        <w:rPr>
          <w:rFonts w:ascii="Times New Roman" w:hAnsi="Times New Roman" w:cs="Times New Roman"/>
          <w:sz w:val="28"/>
          <w:szCs w:val="28"/>
        </w:rPr>
        <w:t>.</w:t>
      </w:r>
    </w:p>
    <w:p w14:paraId="72C2F9C6" w14:textId="523495EA" w:rsidR="00BC7CD0" w:rsidRPr="006309F9" w:rsidRDefault="007468E4" w:rsidP="00BC7CD0">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Si ricorda, infine, che a mente del comma </w:t>
      </w:r>
      <w:r w:rsidR="00BC7CD0" w:rsidRPr="00BC7CD0">
        <w:rPr>
          <w:rFonts w:ascii="Times New Roman" w:hAnsi="Times New Roman" w:cs="Times New Roman"/>
          <w:sz w:val="28"/>
          <w:szCs w:val="28"/>
        </w:rPr>
        <w:t>3</w:t>
      </w:r>
      <w:r>
        <w:rPr>
          <w:rFonts w:ascii="Times New Roman" w:hAnsi="Times New Roman" w:cs="Times New Roman"/>
          <w:sz w:val="28"/>
          <w:szCs w:val="28"/>
        </w:rPr>
        <w:t xml:space="preserve"> dell’art. 21 del TUSP, le</w:t>
      </w:r>
      <w:r w:rsidR="00BC7CD0" w:rsidRPr="00BC7CD0">
        <w:rPr>
          <w:rFonts w:ascii="Times New Roman" w:hAnsi="Times New Roman" w:cs="Times New Roman"/>
          <w:sz w:val="28"/>
          <w:szCs w:val="28"/>
        </w:rPr>
        <w:t xml:space="preserve"> società a partecipazione di maggior</w:t>
      </w:r>
      <w:r w:rsidR="005D14E0">
        <w:rPr>
          <w:rFonts w:ascii="Times New Roman" w:hAnsi="Times New Roman" w:cs="Times New Roman"/>
          <w:sz w:val="28"/>
          <w:szCs w:val="28"/>
        </w:rPr>
        <w:t>anza, diretta e indiretta, di</w:t>
      </w:r>
      <w:r w:rsidR="00BC7CD0" w:rsidRPr="00BC7CD0">
        <w:rPr>
          <w:rFonts w:ascii="Times New Roman" w:hAnsi="Times New Roman" w:cs="Times New Roman"/>
          <w:sz w:val="28"/>
          <w:szCs w:val="28"/>
        </w:rPr>
        <w:t xml:space="preserve"> pubbliche amministrazioni locali</w:t>
      </w:r>
      <w:r>
        <w:rPr>
          <w:rFonts w:ascii="Times New Roman" w:hAnsi="Times New Roman" w:cs="Times New Roman"/>
          <w:sz w:val="28"/>
          <w:szCs w:val="28"/>
        </w:rPr>
        <w:t>,</w:t>
      </w:r>
      <w:r w:rsidR="00BC7CD0" w:rsidRPr="00BC7CD0">
        <w:rPr>
          <w:rFonts w:ascii="Times New Roman" w:hAnsi="Times New Roman" w:cs="Times New Roman"/>
          <w:sz w:val="28"/>
          <w:szCs w:val="28"/>
        </w:rPr>
        <w:t xml:space="preserve"> titolari di affidamento diretto da parte di </w:t>
      </w:r>
      <w:r w:rsidR="005D14E0">
        <w:rPr>
          <w:rFonts w:ascii="Times New Roman" w:hAnsi="Times New Roman" w:cs="Times New Roman"/>
          <w:sz w:val="28"/>
          <w:szCs w:val="28"/>
        </w:rPr>
        <w:t xml:space="preserve">(anche altri) </w:t>
      </w:r>
      <w:r w:rsidR="00BC7CD0" w:rsidRPr="00BC7CD0">
        <w:rPr>
          <w:rFonts w:ascii="Times New Roman" w:hAnsi="Times New Roman" w:cs="Times New Roman"/>
          <w:sz w:val="28"/>
          <w:szCs w:val="28"/>
        </w:rPr>
        <w:t>soggetti pubblici</w:t>
      </w:r>
      <w:r w:rsidR="005D14E0">
        <w:rPr>
          <w:rFonts w:ascii="Times New Roman" w:hAnsi="Times New Roman" w:cs="Times New Roman"/>
          <w:sz w:val="28"/>
          <w:szCs w:val="28"/>
        </w:rPr>
        <w:t>,</w:t>
      </w:r>
      <w:r w:rsidR="00BC7CD0" w:rsidRPr="00BC7CD0">
        <w:rPr>
          <w:rFonts w:ascii="Times New Roman" w:hAnsi="Times New Roman" w:cs="Times New Roman"/>
          <w:sz w:val="28"/>
          <w:szCs w:val="28"/>
        </w:rPr>
        <w:t xml:space="preserve"> per una quota superiore all'80 per cento del valore della produzione, che nei tre esercizi precedenti abbiano conseguito un risultato economico negativo, </w:t>
      </w:r>
      <w:r>
        <w:rPr>
          <w:rFonts w:ascii="Times New Roman" w:hAnsi="Times New Roman" w:cs="Times New Roman"/>
          <w:sz w:val="28"/>
          <w:szCs w:val="28"/>
        </w:rPr>
        <w:t>devono, come sanzione accessoria</w:t>
      </w:r>
      <w:r>
        <w:rPr>
          <w:rStyle w:val="Rimandonotaapidipagina"/>
          <w:rFonts w:ascii="Times New Roman" w:hAnsi="Times New Roman" w:cs="Times New Roman"/>
          <w:sz w:val="28"/>
          <w:szCs w:val="28"/>
        </w:rPr>
        <w:footnoteReference w:id="111"/>
      </w:r>
      <w:r>
        <w:rPr>
          <w:rFonts w:ascii="Times New Roman" w:hAnsi="Times New Roman" w:cs="Times New Roman"/>
          <w:sz w:val="28"/>
          <w:szCs w:val="28"/>
        </w:rPr>
        <w:t xml:space="preserve">, </w:t>
      </w:r>
      <w:r w:rsidR="00BC7CD0" w:rsidRPr="00BC7CD0">
        <w:rPr>
          <w:rFonts w:ascii="Times New Roman" w:hAnsi="Times New Roman" w:cs="Times New Roman"/>
          <w:sz w:val="28"/>
          <w:szCs w:val="28"/>
        </w:rPr>
        <w:t>proced</w:t>
      </w:r>
      <w:r>
        <w:rPr>
          <w:rFonts w:ascii="Times New Roman" w:hAnsi="Times New Roman" w:cs="Times New Roman"/>
          <w:sz w:val="28"/>
          <w:szCs w:val="28"/>
        </w:rPr>
        <w:t>ere</w:t>
      </w:r>
      <w:r w:rsidR="00BC7CD0" w:rsidRPr="00BC7CD0">
        <w:rPr>
          <w:rFonts w:ascii="Times New Roman" w:hAnsi="Times New Roman" w:cs="Times New Roman"/>
          <w:sz w:val="28"/>
          <w:szCs w:val="28"/>
        </w:rPr>
        <w:t xml:space="preserve"> alla riduzione del 30 per cento del compenso dei componenti degli organi di amministrazione. </w:t>
      </w:r>
      <w:r>
        <w:rPr>
          <w:rFonts w:ascii="Times New Roman" w:hAnsi="Times New Roman" w:cs="Times New Roman"/>
          <w:sz w:val="28"/>
          <w:szCs w:val="28"/>
        </w:rPr>
        <w:t>Inoltre, i</w:t>
      </w:r>
      <w:r w:rsidR="00BC7CD0" w:rsidRPr="00BC7CD0">
        <w:rPr>
          <w:rFonts w:ascii="Times New Roman" w:hAnsi="Times New Roman" w:cs="Times New Roman"/>
          <w:sz w:val="28"/>
          <w:szCs w:val="28"/>
        </w:rPr>
        <w:t xml:space="preserve">l conseguimento di un risultato economico negativo per due anni consecutivi rappresenta giusta causa ai fini della revoca degli amministratori. Quanto previsto dal presente comma non si applica </w:t>
      </w:r>
      <w:r>
        <w:rPr>
          <w:rFonts w:ascii="Times New Roman" w:hAnsi="Times New Roman" w:cs="Times New Roman"/>
          <w:sz w:val="28"/>
          <w:szCs w:val="28"/>
        </w:rPr>
        <w:t xml:space="preserve">agli organi amministrativi di società </w:t>
      </w:r>
      <w:r w:rsidR="00BC7CD0" w:rsidRPr="00BC7CD0">
        <w:rPr>
          <w:rFonts w:ascii="Times New Roman" w:hAnsi="Times New Roman" w:cs="Times New Roman"/>
          <w:sz w:val="28"/>
          <w:szCs w:val="28"/>
        </w:rPr>
        <w:t>il cui risultato economico, benché negativo, sia coerente con un piano di risanamento preventivamente a</w:t>
      </w:r>
      <w:r w:rsidR="005D14E0">
        <w:rPr>
          <w:rFonts w:ascii="Times New Roman" w:hAnsi="Times New Roman" w:cs="Times New Roman"/>
          <w:sz w:val="28"/>
          <w:szCs w:val="28"/>
        </w:rPr>
        <w:t>pprovato dall'ente controllante</w:t>
      </w:r>
      <w:r>
        <w:rPr>
          <w:rFonts w:ascii="Times New Roman" w:hAnsi="Times New Roman" w:cs="Times New Roman"/>
          <w:sz w:val="28"/>
          <w:szCs w:val="28"/>
        </w:rPr>
        <w:t xml:space="preserve"> (o dagli enti controllanti)</w:t>
      </w:r>
      <w:r w:rsidR="005D14E0">
        <w:rPr>
          <w:rStyle w:val="Rimandonotaapidipagina"/>
          <w:rFonts w:ascii="Times New Roman" w:hAnsi="Times New Roman" w:cs="Times New Roman"/>
          <w:sz w:val="28"/>
          <w:szCs w:val="28"/>
        </w:rPr>
        <w:footnoteReference w:id="112"/>
      </w:r>
      <w:r w:rsidR="00BC7CD0" w:rsidRPr="00BC7CD0">
        <w:rPr>
          <w:rFonts w:ascii="Times New Roman" w:hAnsi="Times New Roman" w:cs="Times New Roman"/>
          <w:sz w:val="28"/>
          <w:szCs w:val="28"/>
        </w:rPr>
        <w:t>.</w:t>
      </w:r>
    </w:p>
    <w:p w14:paraId="5B955FFC" w14:textId="0C903B37" w:rsidR="00597699" w:rsidRDefault="00597699" w:rsidP="006309F9">
      <w:pPr>
        <w:pStyle w:val="Corpotesto"/>
        <w:spacing w:before="0" w:after="120"/>
        <w:jc w:val="both"/>
        <w:rPr>
          <w:rFonts w:ascii="Times New Roman" w:hAnsi="Times New Roman" w:cs="Times New Roman"/>
          <w:sz w:val="28"/>
          <w:szCs w:val="28"/>
        </w:rPr>
      </w:pPr>
    </w:p>
    <w:p w14:paraId="143C5957" w14:textId="59FEB5EF" w:rsidR="00597699" w:rsidRPr="006309F9" w:rsidRDefault="00FF4D84" w:rsidP="00597699">
      <w:pPr>
        <w:pStyle w:val="Titolo3"/>
      </w:pPr>
      <w:bookmarkStart w:id="11" w:name="_Toc1148503"/>
      <w:r>
        <w:t>1</w:t>
      </w:r>
      <w:r w:rsidR="007468E4">
        <w:t xml:space="preserve">.4.1 I rapporti con </w:t>
      </w:r>
      <w:r w:rsidR="00597699">
        <w:t>i</w:t>
      </w:r>
      <w:r w:rsidR="007468E4">
        <w:t xml:space="preserve"> limiti al </w:t>
      </w:r>
      <w:r w:rsidR="00597699">
        <w:t>soccorso finanziario</w:t>
      </w:r>
      <w:r w:rsidR="007468E4">
        <w:t xml:space="preserve"> delle società pubbliche</w:t>
      </w:r>
      <w:bookmarkEnd w:id="11"/>
    </w:p>
    <w:p w14:paraId="40C25A62" w14:textId="25DAF54E" w:rsidR="00DB1B73" w:rsidRDefault="00D70DA5"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La magistratura contabile ha avuto modo, in più occasioni</w:t>
      </w:r>
      <w:r w:rsidR="00DB1B73">
        <w:rPr>
          <w:rStyle w:val="Rimandonotaapidipagina"/>
          <w:rFonts w:ascii="Times New Roman" w:hAnsi="Times New Roman" w:cs="Times New Roman"/>
          <w:sz w:val="28"/>
          <w:szCs w:val="28"/>
        </w:rPr>
        <w:footnoteReference w:id="113"/>
      </w:r>
      <w:r w:rsidRPr="006309F9">
        <w:rPr>
          <w:rFonts w:ascii="Times New Roman" w:hAnsi="Times New Roman" w:cs="Times New Roman"/>
          <w:sz w:val="28"/>
          <w:szCs w:val="28"/>
        </w:rPr>
        <w:t xml:space="preserve">, di concentrare la propria analisi sul, necessario, equilibrio economico-patrimoniale che le società </w:t>
      </w:r>
      <w:r w:rsidR="007468E4">
        <w:rPr>
          <w:rFonts w:ascii="Times New Roman" w:hAnsi="Times New Roman" w:cs="Times New Roman"/>
          <w:sz w:val="28"/>
          <w:szCs w:val="28"/>
        </w:rPr>
        <w:t xml:space="preserve">pubbliche </w:t>
      </w:r>
      <w:r w:rsidRPr="006309F9">
        <w:rPr>
          <w:rFonts w:ascii="Times New Roman" w:hAnsi="Times New Roman" w:cs="Times New Roman"/>
          <w:sz w:val="28"/>
          <w:szCs w:val="28"/>
        </w:rPr>
        <w:t>devono perseguire, nonché sulla congrua definizione dei rapporti fina</w:t>
      </w:r>
      <w:r w:rsidR="007468E4">
        <w:rPr>
          <w:rFonts w:ascii="Times New Roman" w:hAnsi="Times New Roman" w:cs="Times New Roman"/>
          <w:sz w:val="28"/>
          <w:szCs w:val="28"/>
        </w:rPr>
        <w:t>nziari fra ente socio e società,</w:t>
      </w:r>
      <w:r w:rsidRPr="006309F9">
        <w:rPr>
          <w:rFonts w:ascii="Times New Roman" w:hAnsi="Times New Roman" w:cs="Times New Roman"/>
          <w:sz w:val="28"/>
          <w:szCs w:val="28"/>
        </w:rPr>
        <w:t xml:space="preserve"> a cui</w:t>
      </w:r>
      <w:r w:rsidR="007468E4">
        <w:rPr>
          <w:rFonts w:ascii="Times New Roman" w:hAnsi="Times New Roman" w:cs="Times New Roman"/>
          <w:sz w:val="28"/>
          <w:szCs w:val="28"/>
        </w:rPr>
        <w:t>, in particolare per gli enti locali,</w:t>
      </w:r>
      <w:r w:rsidRPr="006309F9">
        <w:rPr>
          <w:rFonts w:ascii="Times New Roman" w:hAnsi="Times New Roman" w:cs="Times New Roman"/>
          <w:sz w:val="28"/>
          <w:szCs w:val="28"/>
        </w:rPr>
        <w:t xml:space="preserve"> si collega il controllo che il primo deve esercitare nei confro</w:t>
      </w:r>
      <w:r w:rsidR="00DB1B73">
        <w:rPr>
          <w:rFonts w:ascii="Times New Roman" w:hAnsi="Times New Roman" w:cs="Times New Roman"/>
          <w:sz w:val="28"/>
          <w:szCs w:val="28"/>
        </w:rPr>
        <w:t>nti della seconda ai sensi dell’</w:t>
      </w:r>
      <w:r w:rsidRPr="006309F9">
        <w:rPr>
          <w:rFonts w:ascii="Times New Roman" w:hAnsi="Times New Roman" w:cs="Times New Roman"/>
          <w:sz w:val="28"/>
          <w:szCs w:val="28"/>
        </w:rPr>
        <w:t xml:space="preserve">art. 147 </w:t>
      </w:r>
      <w:r w:rsidR="00DB1B73">
        <w:rPr>
          <w:rFonts w:ascii="Times New Roman" w:hAnsi="Times New Roman" w:cs="Times New Roman"/>
          <w:sz w:val="28"/>
          <w:szCs w:val="28"/>
        </w:rPr>
        <w:t>del d.lgs. n. 267/2000</w:t>
      </w:r>
      <w:r w:rsidRPr="006309F9">
        <w:rPr>
          <w:rStyle w:val="Rimandonotaapidipagina"/>
          <w:rFonts w:ascii="Times New Roman" w:hAnsi="Times New Roman" w:cs="Times New Roman"/>
          <w:sz w:val="28"/>
          <w:szCs w:val="28"/>
        </w:rPr>
        <w:footnoteReference w:id="114"/>
      </w:r>
      <w:r w:rsidRPr="006309F9">
        <w:rPr>
          <w:rFonts w:ascii="Times New Roman" w:hAnsi="Times New Roman" w:cs="Times New Roman"/>
          <w:sz w:val="28"/>
          <w:szCs w:val="28"/>
        </w:rPr>
        <w:t xml:space="preserve">. Se l’amministrazione pubblica ricorre a soggetti terzi per </w:t>
      </w:r>
      <w:r w:rsidR="00DB1B73">
        <w:rPr>
          <w:rFonts w:ascii="Times New Roman" w:hAnsi="Times New Roman" w:cs="Times New Roman"/>
          <w:sz w:val="28"/>
          <w:szCs w:val="28"/>
        </w:rPr>
        <w:t>perseguire</w:t>
      </w:r>
      <w:r w:rsidRPr="006309F9">
        <w:rPr>
          <w:rFonts w:ascii="Times New Roman" w:hAnsi="Times New Roman" w:cs="Times New Roman"/>
          <w:sz w:val="28"/>
          <w:szCs w:val="28"/>
        </w:rPr>
        <w:t xml:space="preserve"> i propri fini (in necessaria coerenza ai propri scopi istituzionali</w:t>
      </w:r>
      <w:r w:rsidRPr="006309F9">
        <w:rPr>
          <w:rStyle w:val="Rimandonotaapidipagina"/>
          <w:rFonts w:ascii="Times New Roman" w:hAnsi="Times New Roman" w:cs="Times New Roman"/>
          <w:sz w:val="28"/>
          <w:szCs w:val="28"/>
        </w:rPr>
        <w:footnoteReference w:id="115"/>
      </w:r>
      <w:r w:rsidRPr="006309F9">
        <w:rPr>
          <w:rFonts w:ascii="Times New Roman" w:hAnsi="Times New Roman" w:cs="Times New Roman"/>
          <w:sz w:val="28"/>
          <w:szCs w:val="28"/>
        </w:rPr>
        <w:t xml:space="preserve">), deve garantire l’applicazione dei generali principi di buon andamento (art. 97 Costituzione e art. 1 legge 241/1990), che debbono caratterizzare ogni tipo di esercizio di funzioni o di erogazione di servizi, e che vanno assunte non solo in sede costitutiva (con l’individuazione di un’adeguata dotazione patrimoniale), ma anche in fase esecutiva (con la stipula di un </w:t>
      </w:r>
      <w:r w:rsidR="00095E8B">
        <w:rPr>
          <w:rFonts w:ascii="Times New Roman" w:hAnsi="Times New Roman" w:cs="Times New Roman"/>
          <w:sz w:val="28"/>
          <w:szCs w:val="28"/>
        </w:rPr>
        <w:t xml:space="preserve">congruo </w:t>
      </w:r>
      <w:r w:rsidRPr="006309F9">
        <w:rPr>
          <w:rFonts w:ascii="Times New Roman" w:hAnsi="Times New Roman" w:cs="Times New Roman"/>
          <w:sz w:val="28"/>
          <w:szCs w:val="28"/>
        </w:rPr>
        <w:t xml:space="preserve">contratto di servizio). </w:t>
      </w:r>
    </w:p>
    <w:p w14:paraId="308BD624" w14:textId="75A64CBA" w:rsidR="00D70DA5" w:rsidRPr="006309F9" w:rsidRDefault="00D70DA5" w:rsidP="006309F9">
      <w:pPr>
        <w:pStyle w:val="Corpotesto"/>
        <w:spacing w:before="0" w:after="120"/>
        <w:jc w:val="both"/>
        <w:rPr>
          <w:rFonts w:ascii="Times New Roman" w:hAnsi="Times New Roman" w:cs="Times New Roman"/>
          <w:sz w:val="28"/>
          <w:szCs w:val="28"/>
        </w:rPr>
      </w:pPr>
      <w:r w:rsidRPr="006309F9">
        <w:rPr>
          <w:rFonts w:ascii="Times New Roman" w:hAnsi="Times New Roman" w:cs="Times New Roman"/>
          <w:sz w:val="28"/>
          <w:szCs w:val="28"/>
        </w:rPr>
        <w:t xml:space="preserve">La scelta dello strumento societario, infatti, </w:t>
      </w:r>
      <w:r w:rsidR="00DB1B73">
        <w:rPr>
          <w:rFonts w:ascii="Times New Roman" w:hAnsi="Times New Roman" w:cs="Times New Roman"/>
          <w:sz w:val="28"/>
          <w:szCs w:val="28"/>
        </w:rPr>
        <w:t xml:space="preserve">può essere effettuata, o mantenuta, solo se compatibile con il perseguimento </w:t>
      </w:r>
      <w:r w:rsidR="00095E8B">
        <w:rPr>
          <w:rFonts w:ascii="Times New Roman" w:hAnsi="Times New Roman" w:cs="Times New Roman"/>
          <w:sz w:val="28"/>
          <w:szCs w:val="28"/>
        </w:rPr>
        <w:t>di bilanci</w:t>
      </w:r>
      <w:r w:rsidRPr="006309F9">
        <w:rPr>
          <w:rFonts w:ascii="Times New Roman" w:hAnsi="Times New Roman" w:cs="Times New Roman"/>
          <w:sz w:val="28"/>
          <w:szCs w:val="28"/>
        </w:rPr>
        <w:t xml:space="preserve"> </w:t>
      </w:r>
      <w:r w:rsidR="00095E8B">
        <w:rPr>
          <w:rFonts w:ascii="Times New Roman" w:hAnsi="Times New Roman" w:cs="Times New Roman"/>
          <w:sz w:val="28"/>
          <w:szCs w:val="28"/>
        </w:rPr>
        <w:t>in equilibrio</w:t>
      </w:r>
      <w:r w:rsidR="008564C0" w:rsidRPr="006309F9">
        <w:rPr>
          <w:rStyle w:val="Rimandonotaapidipagina"/>
          <w:rFonts w:ascii="Times New Roman" w:hAnsi="Times New Roman" w:cs="Times New Roman"/>
          <w:sz w:val="28"/>
          <w:szCs w:val="28"/>
        </w:rPr>
        <w:footnoteReference w:id="116"/>
      </w:r>
      <w:r w:rsidR="00DB1B73">
        <w:rPr>
          <w:rFonts w:ascii="Times New Roman" w:hAnsi="Times New Roman" w:cs="Times New Roman"/>
          <w:sz w:val="28"/>
          <w:szCs w:val="28"/>
        </w:rPr>
        <w:t xml:space="preserve"> (pena, indirettamente, la produzione di un</w:t>
      </w:r>
      <w:r w:rsidRPr="006309F9">
        <w:rPr>
          <w:rFonts w:ascii="Times New Roman" w:hAnsi="Times New Roman" w:cs="Times New Roman"/>
          <w:sz w:val="28"/>
          <w:szCs w:val="28"/>
        </w:rPr>
        <w:t xml:space="preserve"> danno economico a</w:t>
      </w:r>
      <w:r w:rsidR="00DB1B73">
        <w:rPr>
          <w:rFonts w:ascii="Times New Roman" w:hAnsi="Times New Roman" w:cs="Times New Roman"/>
          <w:sz w:val="28"/>
          <w:szCs w:val="28"/>
        </w:rPr>
        <w:t>gli enti</w:t>
      </w:r>
      <w:r w:rsidRPr="006309F9">
        <w:rPr>
          <w:rFonts w:ascii="Times New Roman" w:hAnsi="Times New Roman" w:cs="Times New Roman"/>
          <w:sz w:val="28"/>
          <w:szCs w:val="28"/>
        </w:rPr>
        <w:t xml:space="preserve"> soci</w:t>
      </w:r>
      <w:r w:rsidRPr="006309F9">
        <w:rPr>
          <w:rStyle w:val="Rimandonotaapidipagina"/>
          <w:rFonts w:ascii="Times New Roman" w:hAnsi="Times New Roman" w:cs="Times New Roman"/>
          <w:sz w:val="28"/>
          <w:szCs w:val="28"/>
        </w:rPr>
        <w:footnoteReference w:id="117"/>
      </w:r>
      <w:r w:rsidR="00DB1B73">
        <w:rPr>
          <w:rFonts w:ascii="Times New Roman" w:hAnsi="Times New Roman" w:cs="Times New Roman"/>
          <w:sz w:val="28"/>
          <w:szCs w:val="28"/>
        </w:rPr>
        <w:t>)</w:t>
      </w:r>
      <w:r w:rsidRPr="006309F9">
        <w:rPr>
          <w:rFonts w:ascii="Times New Roman" w:hAnsi="Times New Roman" w:cs="Times New Roman"/>
          <w:sz w:val="28"/>
          <w:szCs w:val="28"/>
        </w:rPr>
        <w:t xml:space="preserve">. Più precisamente, l’ente </w:t>
      </w:r>
      <w:r w:rsidR="008564C0">
        <w:rPr>
          <w:rFonts w:ascii="Times New Roman" w:hAnsi="Times New Roman" w:cs="Times New Roman"/>
          <w:sz w:val="28"/>
          <w:szCs w:val="28"/>
        </w:rPr>
        <w:t>pubblico</w:t>
      </w:r>
      <w:r w:rsidRPr="006309F9">
        <w:rPr>
          <w:rFonts w:ascii="Times New Roman" w:hAnsi="Times New Roman" w:cs="Times New Roman"/>
          <w:sz w:val="28"/>
          <w:szCs w:val="28"/>
        </w:rPr>
        <w:t xml:space="preserve"> deve contemperare gli interessi di cui è portatore</w:t>
      </w:r>
      <w:r w:rsidR="008564C0">
        <w:rPr>
          <w:rFonts w:ascii="Times New Roman" w:hAnsi="Times New Roman" w:cs="Times New Roman"/>
          <w:sz w:val="28"/>
          <w:szCs w:val="28"/>
        </w:rPr>
        <w:t>,</w:t>
      </w:r>
      <w:r w:rsidRPr="006309F9">
        <w:rPr>
          <w:rFonts w:ascii="Times New Roman" w:hAnsi="Times New Roman" w:cs="Times New Roman"/>
          <w:sz w:val="28"/>
          <w:szCs w:val="28"/>
        </w:rPr>
        <w:t xml:space="preserve"> quale esponente della collettività </w:t>
      </w:r>
      <w:r w:rsidR="008564C0">
        <w:rPr>
          <w:rFonts w:ascii="Times New Roman" w:hAnsi="Times New Roman" w:cs="Times New Roman"/>
          <w:sz w:val="28"/>
          <w:szCs w:val="28"/>
        </w:rPr>
        <w:t xml:space="preserve">(o dell’utenza) </w:t>
      </w:r>
      <w:r w:rsidRPr="006309F9">
        <w:rPr>
          <w:rFonts w:ascii="Times New Roman" w:hAnsi="Times New Roman" w:cs="Times New Roman"/>
          <w:sz w:val="28"/>
          <w:szCs w:val="28"/>
        </w:rPr>
        <w:t>di riferimento</w:t>
      </w:r>
      <w:r w:rsidR="008564C0">
        <w:rPr>
          <w:rFonts w:ascii="Times New Roman" w:hAnsi="Times New Roman" w:cs="Times New Roman"/>
          <w:sz w:val="28"/>
          <w:szCs w:val="28"/>
        </w:rPr>
        <w:t>,</w:t>
      </w:r>
      <w:r w:rsidRPr="006309F9">
        <w:rPr>
          <w:rFonts w:ascii="Times New Roman" w:hAnsi="Times New Roman" w:cs="Times New Roman"/>
          <w:sz w:val="28"/>
          <w:szCs w:val="28"/>
        </w:rPr>
        <w:t xml:space="preserve"> con l’esigenza di governare la spesa. In particolare, un’errata i</w:t>
      </w:r>
      <w:r w:rsidR="008564C0">
        <w:rPr>
          <w:rFonts w:ascii="Times New Roman" w:hAnsi="Times New Roman" w:cs="Times New Roman"/>
          <w:sz w:val="28"/>
          <w:szCs w:val="28"/>
        </w:rPr>
        <w:t>mpostazione del piano economico-finanziario</w:t>
      </w:r>
      <w:r w:rsidRPr="006309F9">
        <w:rPr>
          <w:rFonts w:ascii="Times New Roman" w:hAnsi="Times New Roman" w:cs="Times New Roman"/>
          <w:sz w:val="28"/>
          <w:szCs w:val="28"/>
        </w:rPr>
        <w:t xml:space="preserve"> o un manchevole esercizio delle prerogative di controllo nell’esecuzione dei contratti</w:t>
      </w:r>
      <w:r w:rsidR="008564C0">
        <w:rPr>
          <w:rFonts w:ascii="Times New Roman" w:hAnsi="Times New Roman" w:cs="Times New Roman"/>
          <w:sz w:val="28"/>
          <w:szCs w:val="28"/>
        </w:rPr>
        <w:t xml:space="preserve"> di servizio</w:t>
      </w:r>
      <w:r w:rsidRPr="006309F9">
        <w:rPr>
          <w:rFonts w:ascii="Times New Roman" w:hAnsi="Times New Roman" w:cs="Times New Roman"/>
          <w:sz w:val="28"/>
          <w:szCs w:val="28"/>
        </w:rPr>
        <w:t xml:space="preserve">, possono determinare la lievitazione dei costi di produzione e arrecare danno al patrimonio dell’ente socio (che, al momento della costituzione, </w:t>
      </w:r>
      <w:r w:rsidR="008564C0">
        <w:rPr>
          <w:rFonts w:ascii="Times New Roman" w:hAnsi="Times New Roman" w:cs="Times New Roman"/>
          <w:sz w:val="28"/>
          <w:szCs w:val="28"/>
        </w:rPr>
        <w:t>vi ha apportato il capitale). L’eventuale</w:t>
      </w:r>
      <w:r w:rsidRPr="006309F9">
        <w:rPr>
          <w:rFonts w:ascii="Times New Roman" w:hAnsi="Times New Roman" w:cs="Times New Roman"/>
          <w:sz w:val="28"/>
          <w:szCs w:val="28"/>
        </w:rPr>
        <w:t xml:space="preserve"> strutturale incapacità della gestione caratteristica di coprire i costi della produzione si traduce</w:t>
      </w:r>
      <w:r w:rsidR="008564C0">
        <w:rPr>
          <w:rFonts w:ascii="Times New Roman" w:hAnsi="Times New Roman" w:cs="Times New Roman"/>
          <w:sz w:val="28"/>
          <w:szCs w:val="28"/>
        </w:rPr>
        <w:t>, pertanto,</w:t>
      </w:r>
      <w:r w:rsidRPr="006309F9">
        <w:rPr>
          <w:rFonts w:ascii="Times New Roman" w:hAnsi="Times New Roman" w:cs="Times New Roman"/>
          <w:sz w:val="28"/>
          <w:szCs w:val="28"/>
        </w:rPr>
        <w:t xml:space="preserve"> in una surrettizia copertura di passività attraverso il patrimonio netto, la cui progressiva erosione può essere utilizzata per dilazionare nel tempo l’intervento dei soci</w:t>
      </w:r>
      <w:r w:rsidR="008564C0">
        <w:rPr>
          <w:rStyle w:val="Rimandonotaapidipagina"/>
          <w:rFonts w:ascii="Times New Roman" w:hAnsi="Times New Roman" w:cs="Times New Roman"/>
          <w:sz w:val="28"/>
          <w:szCs w:val="28"/>
        </w:rPr>
        <w:footnoteReference w:id="118"/>
      </w:r>
      <w:r w:rsidRPr="006309F9">
        <w:rPr>
          <w:rFonts w:ascii="Times New Roman" w:hAnsi="Times New Roman" w:cs="Times New Roman"/>
          <w:sz w:val="28"/>
          <w:szCs w:val="28"/>
        </w:rPr>
        <w:t xml:space="preserve">. </w:t>
      </w:r>
    </w:p>
    <w:p w14:paraId="6B8655F0" w14:textId="285C9EDB" w:rsidR="001D3286" w:rsidRPr="006309F9" w:rsidRDefault="00095E8B" w:rsidP="001D3286">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In questo contesto l</w:t>
      </w:r>
      <w:r w:rsidR="00755DAC" w:rsidRPr="00755DAC">
        <w:rPr>
          <w:rFonts w:ascii="Times New Roman" w:hAnsi="Times New Roman" w:cs="Times New Roman"/>
          <w:sz w:val="28"/>
          <w:szCs w:val="28"/>
        </w:rPr>
        <w:t xml:space="preserve">’introduzione della disciplina in esame </w:t>
      </w:r>
      <w:r>
        <w:rPr>
          <w:rFonts w:ascii="Times New Roman" w:hAnsi="Times New Roman" w:cs="Times New Roman"/>
          <w:sz w:val="28"/>
          <w:szCs w:val="28"/>
        </w:rPr>
        <w:t xml:space="preserve">(art. 21 d.lgs. n. 175/2016 e art. 1, commi 551 e seguenti, legge n. 147/2013) </w:t>
      </w:r>
      <w:r w:rsidR="00755DAC" w:rsidRPr="00755DAC">
        <w:rPr>
          <w:rFonts w:ascii="Times New Roman" w:hAnsi="Times New Roman" w:cs="Times New Roman"/>
          <w:sz w:val="28"/>
          <w:szCs w:val="28"/>
        </w:rPr>
        <w:t>non ha significato il venir meno del sistema di limiti</w:t>
      </w:r>
      <w:r>
        <w:rPr>
          <w:rFonts w:ascii="Times New Roman" w:hAnsi="Times New Roman" w:cs="Times New Roman"/>
          <w:sz w:val="28"/>
          <w:szCs w:val="28"/>
        </w:rPr>
        <w:t>,</w:t>
      </w:r>
      <w:r w:rsidR="00755DAC" w:rsidRPr="00755DAC">
        <w:rPr>
          <w:rFonts w:ascii="Times New Roman" w:hAnsi="Times New Roman" w:cs="Times New Roman"/>
          <w:sz w:val="28"/>
          <w:szCs w:val="28"/>
        </w:rPr>
        <w:t xml:space="preserve"> individuato dalla stessa giurisprudenza </w:t>
      </w:r>
      <w:r>
        <w:rPr>
          <w:rFonts w:ascii="Times New Roman" w:hAnsi="Times New Roman" w:cs="Times New Roman"/>
          <w:sz w:val="28"/>
          <w:szCs w:val="28"/>
        </w:rPr>
        <w:t xml:space="preserve">contabile, </w:t>
      </w:r>
      <w:r w:rsidR="00755DAC" w:rsidRPr="00755DAC">
        <w:rPr>
          <w:rFonts w:ascii="Times New Roman" w:hAnsi="Times New Roman" w:cs="Times New Roman"/>
          <w:sz w:val="28"/>
          <w:szCs w:val="28"/>
        </w:rPr>
        <w:t xml:space="preserve">con riguardo alla possibilità per gli enti locali di </w:t>
      </w:r>
      <w:r>
        <w:rPr>
          <w:rFonts w:ascii="Times New Roman" w:hAnsi="Times New Roman" w:cs="Times New Roman"/>
          <w:sz w:val="28"/>
          <w:szCs w:val="28"/>
        </w:rPr>
        <w:t xml:space="preserve">effettuare operazioni di soccorso finanziario a favore delle </w:t>
      </w:r>
      <w:r w:rsidR="00755DAC" w:rsidRPr="00755DAC">
        <w:rPr>
          <w:rFonts w:ascii="Times New Roman" w:hAnsi="Times New Roman" w:cs="Times New Roman"/>
          <w:sz w:val="28"/>
          <w:szCs w:val="28"/>
        </w:rPr>
        <w:t xml:space="preserve">proprie partecipate. </w:t>
      </w:r>
      <w:r w:rsidR="001D3286" w:rsidRPr="006309F9">
        <w:rPr>
          <w:rFonts w:ascii="Times New Roman" w:hAnsi="Times New Roman" w:cs="Times New Roman"/>
          <w:sz w:val="28"/>
          <w:szCs w:val="28"/>
        </w:rPr>
        <w:t xml:space="preserve">Le citate disposizioni vanno, </w:t>
      </w:r>
      <w:r>
        <w:rPr>
          <w:rFonts w:ascii="Times New Roman" w:hAnsi="Times New Roman" w:cs="Times New Roman"/>
          <w:sz w:val="28"/>
          <w:szCs w:val="28"/>
        </w:rPr>
        <w:t xml:space="preserve">infatti, </w:t>
      </w:r>
      <w:r w:rsidR="001D3286">
        <w:rPr>
          <w:rFonts w:ascii="Times New Roman" w:hAnsi="Times New Roman" w:cs="Times New Roman"/>
          <w:sz w:val="28"/>
          <w:szCs w:val="28"/>
        </w:rPr>
        <w:t>preliminarmente</w:t>
      </w:r>
      <w:r w:rsidR="001D3286" w:rsidRPr="006309F9">
        <w:rPr>
          <w:rFonts w:ascii="Times New Roman" w:hAnsi="Times New Roman" w:cs="Times New Roman"/>
          <w:sz w:val="28"/>
          <w:szCs w:val="28"/>
        </w:rPr>
        <w:t xml:space="preserve">, coordinate con le norme del </w:t>
      </w:r>
      <w:proofErr w:type="gramStart"/>
      <w:r w:rsidR="001D3286" w:rsidRPr="006309F9">
        <w:rPr>
          <w:rFonts w:ascii="Times New Roman" w:hAnsi="Times New Roman" w:cs="Times New Roman"/>
          <w:sz w:val="28"/>
          <w:szCs w:val="28"/>
        </w:rPr>
        <w:t>codice civile</w:t>
      </w:r>
      <w:proofErr w:type="gramEnd"/>
      <w:r w:rsidR="001D3286" w:rsidRPr="006309F9">
        <w:rPr>
          <w:rFonts w:ascii="Times New Roman" w:hAnsi="Times New Roman" w:cs="Times New Roman"/>
          <w:sz w:val="28"/>
          <w:szCs w:val="28"/>
        </w:rPr>
        <w:t xml:space="preserve"> sull’automatico scioglimento della società il cui capitale sia sces</w:t>
      </w:r>
      <w:r w:rsidR="001D3286">
        <w:rPr>
          <w:rFonts w:ascii="Times New Roman" w:hAnsi="Times New Roman" w:cs="Times New Roman"/>
          <w:sz w:val="28"/>
          <w:szCs w:val="28"/>
        </w:rPr>
        <w:t>o al di sotto del limite legale. Queste ultime impongono all’e</w:t>
      </w:r>
      <w:r w:rsidR="001D3286" w:rsidRPr="006309F9">
        <w:rPr>
          <w:rFonts w:ascii="Times New Roman" w:hAnsi="Times New Roman" w:cs="Times New Roman"/>
          <w:sz w:val="28"/>
          <w:szCs w:val="28"/>
        </w:rPr>
        <w:t xml:space="preserve">nte </w:t>
      </w:r>
      <w:r w:rsidR="001D3286">
        <w:rPr>
          <w:rFonts w:ascii="Times New Roman" w:hAnsi="Times New Roman" w:cs="Times New Roman"/>
          <w:sz w:val="28"/>
          <w:szCs w:val="28"/>
        </w:rPr>
        <w:t>socio di</w:t>
      </w:r>
      <w:r w:rsidR="001D3286" w:rsidRPr="006309F9">
        <w:rPr>
          <w:rFonts w:ascii="Times New Roman" w:hAnsi="Times New Roman" w:cs="Times New Roman"/>
          <w:sz w:val="28"/>
          <w:szCs w:val="28"/>
        </w:rPr>
        <w:t xml:space="preserve"> decidere, in base ad un giudizio prognostico sulla futura redditività della società, </w:t>
      </w:r>
      <w:r w:rsidR="001D3286" w:rsidRPr="0034269D">
        <w:rPr>
          <w:rFonts w:ascii="Times New Roman" w:hAnsi="Times New Roman" w:cs="Times New Roman"/>
          <w:sz w:val="28"/>
          <w:szCs w:val="28"/>
          <w:u w:val="single"/>
        </w:rPr>
        <w:t>se provvedere alla reintegrazione del capitale sociale (consentita, in presenza di un congruo e credibile, piano industriale, anche dall’art. 14, comma 5, del d.lgs. n. 175/2016</w:t>
      </w:r>
      <w:r w:rsidR="001D3286">
        <w:rPr>
          <w:rFonts w:ascii="Times New Roman" w:hAnsi="Times New Roman" w:cs="Times New Roman"/>
          <w:sz w:val="28"/>
          <w:szCs w:val="28"/>
        </w:rPr>
        <w:t>)</w:t>
      </w:r>
      <w:r>
        <w:rPr>
          <w:rFonts w:ascii="Times New Roman" w:hAnsi="Times New Roman" w:cs="Times New Roman"/>
          <w:sz w:val="28"/>
          <w:szCs w:val="28"/>
        </w:rPr>
        <w:t xml:space="preserve"> oppure prendere atto dello</w:t>
      </w:r>
      <w:r w:rsidR="001D3286">
        <w:rPr>
          <w:rFonts w:ascii="Times New Roman" w:hAnsi="Times New Roman" w:cs="Times New Roman"/>
          <w:sz w:val="28"/>
          <w:szCs w:val="28"/>
        </w:rPr>
        <w:t xml:space="preserve"> scioglimento, e conseguente</w:t>
      </w:r>
      <w:r w:rsidR="001D3286" w:rsidRPr="006309F9">
        <w:rPr>
          <w:rFonts w:ascii="Times New Roman" w:hAnsi="Times New Roman" w:cs="Times New Roman"/>
          <w:sz w:val="28"/>
          <w:szCs w:val="28"/>
        </w:rPr>
        <w:t xml:space="preserve"> liquidazione</w:t>
      </w:r>
      <w:r w:rsidR="001D3286">
        <w:rPr>
          <w:rFonts w:ascii="Times New Roman" w:hAnsi="Times New Roman" w:cs="Times New Roman"/>
          <w:sz w:val="28"/>
          <w:szCs w:val="28"/>
        </w:rPr>
        <w:t xml:space="preserve">, della società </w:t>
      </w:r>
      <w:r w:rsidR="001D3286" w:rsidRPr="006309F9">
        <w:rPr>
          <w:rFonts w:ascii="Times New Roman" w:hAnsi="Times New Roman" w:cs="Times New Roman"/>
          <w:sz w:val="28"/>
          <w:szCs w:val="28"/>
        </w:rPr>
        <w:t>(</w:t>
      </w:r>
      <w:r w:rsidR="001D3286">
        <w:rPr>
          <w:rFonts w:ascii="Times New Roman" w:hAnsi="Times New Roman" w:cs="Times New Roman"/>
          <w:sz w:val="28"/>
          <w:szCs w:val="28"/>
        </w:rPr>
        <w:t xml:space="preserve">cfr. </w:t>
      </w:r>
      <w:r w:rsidR="001D3286" w:rsidRPr="006309F9">
        <w:rPr>
          <w:rFonts w:ascii="Times New Roman" w:hAnsi="Times New Roman" w:cs="Times New Roman"/>
          <w:sz w:val="28"/>
          <w:szCs w:val="28"/>
        </w:rPr>
        <w:t>artt. 2484 e 2447 c</w:t>
      </w:r>
      <w:r w:rsidR="001D3286">
        <w:rPr>
          <w:rFonts w:ascii="Times New Roman" w:hAnsi="Times New Roman" w:cs="Times New Roman"/>
          <w:sz w:val="28"/>
          <w:szCs w:val="28"/>
        </w:rPr>
        <w:t>od</w:t>
      </w:r>
      <w:r w:rsidR="001D3286" w:rsidRPr="006309F9">
        <w:rPr>
          <w:rFonts w:ascii="Times New Roman" w:hAnsi="Times New Roman" w:cs="Times New Roman"/>
          <w:sz w:val="28"/>
          <w:szCs w:val="28"/>
        </w:rPr>
        <w:t>.</w:t>
      </w:r>
      <w:r w:rsidR="001D3286">
        <w:rPr>
          <w:rFonts w:ascii="Times New Roman" w:hAnsi="Times New Roman" w:cs="Times New Roman"/>
          <w:sz w:val="28"/>
          <w:szCs w:val="28"/>
        </w:rPr>
        <w:t xml:space="preserve"> </w:t>
      </w:r>
      <w:r w:rsidR="001D3286" w:rsidRPr="006309F9">
        <w:rPr>
          <w:rFonts w:ascii="Times New Roman" w:hAnsi="Times New Roman" w:cs="Times New Roman"/>
          <w:sz w:val="28"/>
          <w:szCs w:val="28"/>
        </w:rPr>
        <w:t>c</w:t>
      </w:r>
      <w:r w:rsidR="001D3286">
        <w:rPr>
          <w:rFonts w:ascii="Times New Roman" w:hAnsi="Times New Roman" w:cs="Times New Roman"/>
          <w:sz w:val="28"/>
          <w:szCs w:val="28"/>
        </w:rPr>
        <w:t>iv</w:t>
      </w:r>
      <w:r w:rsidR="001D3286" w:rsidRPr="006309F9">
        <w:rPr>
          <w:rFonts w:ascii="Times New Roman" w:hAnsi="Times New Roman" w:cs="Times New Roman"/>
          <w:sz w:val="28"/>
          <w:szCs w:val="28"/>
        </w:rPr>
        <w:t>.).</w:t>
      </w:r>
      <w:r w:rsidR="001D3286">
        <w:rPr>
          <w:rFonts w:ascii="Times New Roman" w:hAnsi="Times New Roman" w:cs="Times New Roman"/>
          <w:sz w:val="28"/>
          <w:szCs w:val="28"/>
        </w:rPr>
        <w:t xml:space="preserve"> </w:t>
      </w:r>
      <w:r w:rsidR="003254FA">
        <w:rPr>
          <w:rFonts w:ascii="Times New Roman" w:hAnsi="Times New Roman" w:cs="Times New Roman"/>
          <w:sz w:val="28"/>
          <w:szCs w:val="28"/>
        </w:rPr>
        <w:t xml:space="preserve">In quest’ultima evenienza, come consente lo stesso art. 21 TUSP, </w:t>
      </w:r>
      <w:r w:rsidR="001D3286" w:rsidRPr="006309F9">
        <w:rPr>
          <w:rFonts w:ascii="Times New Roman" w:hAnsi="Times New Roman" w:cs="Times New Roman"/>
          <w:sz w:val="28"/>
          <w:szCs w:val="28"/>
        </w:rPr>
        <w:t>l’</w:t>
      </w:r>
      <w:r w:rsidR="003254FA">
        <w:rPr>
          <w:rFonts w:ascii="Times New Roman" w:hAnsi="Times New Roman" w:cs="Times New Roman"/>
          <w:sz w:val="28"/>
          <w:szCs w:val="28"/>
        </w:rPr>
        <w:t>e</w:t>
      </w:r>
      <w:r w:rsidR="001D3286" w:rsidRPr="006309F9">
        <w:rPr>
          <w:rFonts w:ascii="Times New Roman" w:hAnsi="Times New Roman" w:cs="Times New Roman"/>
          <w:sz w:val="28"/>
          <w:szCs w:val="28"/>
        </w:rPr>
        <w:t xml:space="preserve">nte socio </w:t>
      </w:r>
      <w:r w:rsidR="003254FA">
        <w:rPr>
          <w:rFonts w:ascii="Times New Roman" w:hAnsi="Times New Roman" w:cs="Times New Roman"/>
          <w:sz w:val="28"/>
          <w:szCs w:val="28"/>
        </w:rPr>
        <w:t xml:space="preserve">può </w:t>
      </w:r>
      <w:r w:rsidR="001D3286" w:rsidRPr="006309F9">
        <w:rPr>
          <w:rFonts w:ascii="Times New Roman" w:hAnsi="Times New Roman" w:cs="Times New Roman"/>
          <w:sz w:val="28"/>
          <w:szCs w:val="28"/>
        </w:rPr>
        <w:t>non proceder</w:t>
      </w:r>
      <w:r w:rsidR="003254FA">
        <w:rPr>
          <w:rFonts w:ascii="Times New Roman" w:hAnsi="Times New Roman" w:cs="Times New Roman"/>
          <w:sz w:val="28"/>
          <w:szCs w:val="28"/>
        </w:rPr>
        <w:t>e</w:t>
      </w:r>
      <w:r w:rsidR="001D3286" w:rsidRPr="006309F9">
        <w:rPr>
          <w:rFonts w:ascii="Times New Roman" w:hAnsi="Times New Roman" w:cs="Times New Roman"/>
          <w:sz w:val="28"/>
          <w:szCs w:val="28"/>
        </w:rPr>
        <w:t xml:space="preserve"> a</w:t>
      </w:r>
      <w:r w:rsidR="003254FA">
        <w:rPr>
          <w:rFonts w:ascii="Times New Roman" w:hAnsi="Times New Roman" w:cs="Times New Roman"/>
          <w:sz w:val="28"/>
          <w:szCs w:val="28"/>
        </w:rPr>
        <w:t>d alcun</w:t>
      </w:r>
      <w:r>
        <w:rPr>
          <w:rFonts w:ascii="Times New Roman" w:hAnsi="Times New Roman" w:cs="Times New Roman"/>
          <w:sz w:val="28"/>
          <w:szCs w:val="28"/>
        </w:rPr>
        <w:t xml:space="preserve"> accantonamento</w:t>
      </w:r>
      <w:r w:rsidR="001D3286" w:rsidRPr="006309F9">
        <w:rPr>
          <w:rFonts w:ascii="Times New Roman" w:hAnsi="Times New Roman" w:cs="Times New Roman"/>
          <w:sz w:val="28"/>
          <w:szCs w:val="28"/>
        </w:rPr>
        <w:t xml:space="preserve">, </w:t>
      </w:r>
      <w:r w:rsidR="003254FA">
        <w:rPr>
          <w:rFonts w:ascii="Times New Roman" w:hAnsi="Times New Roman" w:cs="Times New Roman"/>
          <w:sz w:val="28"/>
          <w:szCs w:val="28"/>
        </w:rPr>
        <w:t xml:space="preserve">posto che non vi è esigenza di concreta copertura delle perdite registrate </w:t>
      </w:r>
      <w:r>
        <w:rPr>
          <w:rFonts w:ascii="Times New Roman" w:hAnsi="Times New Roman" w:cs="Times New Roman"/>
          <w:sz w:val="28"/>
          <w:szCs w:val="28"/>
        </w:rPr>
        <w:t>(</w:t>
      </w:r>
      <w:r w:rsidR="003254FA">
        <w:rPr>
          <w:rFonts w:ascii="Times New Roman" w:hAnsi="Times New Roman" w:cs="Times New Roman"/>
          <w:sz w:val="28"/>
          <w:szCs w:val="28"/>
        </w:rPr>
        <w:t xml:space="preserve">ma l’obbligo di dare </w:t>
      </w:r>
      <w:r w:rsidR="001D3286" w:rsidRPr="006309F9">
        <w:rPr>
          <w:rFonts w:ascii="Times New Roman" w:hAnsi="Times New Roman" w:cs="Times New Roman"/>
          <w:sz w:val="28"/>
          <w:szCs w:val="28"/>
        </w:rPr>
        <w:t xml:space="preserve">corso alle procedure di </w:t>
      </w:r>
      <w:r w:rsidR="003254FA">
        <w:rPr>
          <w:rFonts w:ascii="Times New Roman" w:hAnsi="Times New Roman" w:cs="Times New Roman"/>
          <w:sz w:val="28"/>
          <w:szCs w:val="28"/>
        </w:rPr>
        <w:t>estinzione</w:t>
      </w:r>
      <w:r>
        <w:rPr>
          <w:rFonts w:ascii="Times New Roman" w:hAnsi="Times New Roman" w:cs="Times New Roman"/>
          <w:sz w:val="28"/>
          <w:szCs w:val="28"/>
        </w:rPr>
        <w:t xml:space="preserve"> della società)</w:t>
      </w:r>
      <w:r w:rsidR="001D3286" w:rsidRPr="006309F9">
        <w:rPr>
          <w:rFonts w:ascii="Times New Roman" w:hAnsi="Times New Roman" w:cs="Times New Roman"/>
          <w:sz w:val="28"/>
          <w:szCs w:val="28"/>
        </w:rPr>
        <w:t>.</w:t>
      </w:r>
    </w:p>
    <w:p w14:paraId="27CB5ADE" w14:textId="1F943052" w:rsidR="00496B0C" w:rsidRPr="0034269D" w:rsidRDefault="008564C0" w:rsidP="00174A5E">
      <w:pPr>
        <w:pStyle w:val="Corpotesto"/>
        <w:spacing w:after="120"/>
        <w:jc w:val="both"/>
        <w:rPr>
          <w:rFonts w:ascii="Times New Roman" w:hAnsi="Times New Roman" w:cs="Times New Roman"/>
          <w:sz w:val="28"/>
          <w:szCs w:val="28"/>
          <w:u w:val="single"/>
        </w:rPr>
      </w:pPr>
      <w:r>
        <w:rPr>
          <w:rFonts w:ascii="Times New Roman" w:hAnsi="Times New Roman" w:cs="Times New Roman"/>
          <w:sz w:val="28"/>
          <w:szCs w:val="28"/>
        </w:rPr>
        <w:t>L’introduzione dell’accantonamento per perdite di società partecipate</w:t>
      </w:r>
      <w:r w:rsidR="00496B0C">
        <w:rPr>
          <w:rFonts w:ascii="Times New Roman" w:hAnsi="Times New Roman" w:cs="Times New Roman"/>
          <w:sz w:val="28"/>
          <w:szCs w:val="28"/>
        </w:rPr>
        <w:t xml:space="preserve">, ex </w:t>
      </w:r>
      <w:r>
        <w:rPr>
          <w:rFonts w:ascii="Times New Roman" w:hAnsi="Times New Roman" w:cs="Times New Roman"/>
          <w:sz w:val="28"/>
          <w:szCs w:val="28"/>
        </w:rPr>
        <w:t>art. 21 TUSP (come</w:t>
      </w:r>
      <w:r w:rsidR="00496B0C">
        <w:rPr>
          <w:rFonts w:ascii="Times New Roman" w:hAnsi="Times New Roman" w:cs="Times New Roman"/>
          <w:sz w:val="28"/>
          <w:szCs w:val="28"/>
        </w:rPr>
        <w:t>,</w:t>
      </w:r>
      <w:r>
        <w:rPr>
          <w:rFonts w:ascii="Times New Roman" w:hAnsi="Times New Roman" w:cs="Times New Roman"/>
          <w:sz w:val="28"/>
          <w:szCs w:val="28"/>
        </w:rPr>
        <w:t xml:space="preserve"> </w:t>
      </w:r>
      <w:r w:rsidR="00496B0C">
        <w:rPr>
          <w:rFonts w:ascii="Times New Roman" w:hAnsi="Times New Roman" w:cs="Times New Roman"/>
          <w:sz w:val="28"/>
          <w:szCs w:val="28"/>
        </w:rPr>
        <w:t xml:space="preserve">ex </w:t>
      </w:r>
      <w:r>
        <w:rPr>
          <w:rFonts w:ascii="Times New Roman" w:hAnsi="Times New Roman" w:cs="Times New Roman"/>
          <w:sz w:val="28"/>
          <w:szCs w:val="28"/>
        </w:rPr>
        <w:t xml:space="preserve">art. 1, comma 551 e seguenti, per </w:t>
      </w:r>
      <w:r w:rsidR="00496B0C">
        <w:rPr>
          <w:rFonts w:ascii="Times New Roman" w:hAnsi="Times New Roman" w:cs="Times New Roman"/>
          <w:sz w:val="28"/>
          <w:szCs w:val="28"/>
        </w:rPr>
        <w:t>i disavanzi de</w:t>
      </w:r>
      <w:r>
        <w:rPr>
          <w:rFonts w:ascii="Times New Roman" w:hAnsi="Times New Roman" w:cs="Times New Roman"/>
          <w:sz w:val="28"/>
          <w:szCs w:val="28"/>
        </w:rPr>
        <w:t xml:space="preserve">gli enti strumentali non societari) </w:t>
      </w:r>
      <w:r w:rsidR="00755DAC" w:rsidRPr="00755DAC">
        <w:rPr>
          <w:rFonts w:ascii="Times New Roman" w:hAnsi="Times New Roman" w:cs="Times New Roman"/>
          <w:sz w:val="28"/>
          <w:szCs w:val="28"/>
        </w:rPr>
        <w:t xml:space="preserve">non ha </w:t>
      </w:r>
      <w:r w:rsidR="00496B0C">
        <w:rPr>
          <w:rFonts w:ascii="Times New Roman" w:hAnsi="Times New Roman" w:cs="Times New Roman"/>
          <w:sz w:val="28"/>
          <w:szCs w:val="28"/>
        </w:rPr>
        <w:t>fatto</w:t>
      </w:r>
      <w:r w:rsidR="00755DAC" w:rsidRPr="00755DAC">
        <w:rPr>
          <w:rFonts w:ascii="Times New Roman" w:hAnsi="Times New Roman" w:cs="Times New Roman"/>
          <w:sz w:val="28"/>
          <w:szCs w:val="28"/>
        </w:rPr>
        <w:t xml:space="preserve"> venir meno </w:t>
      </w:r>
      <w:r w:rsidR="00496B0C">
        <w:rPr>
          <w:rFonts w:ascii="Times New Roman" w:hAnsi="Times New Roman" w:cs="Times New Roman"/>
          <w:sz w:val="28"/>
          <w:szCs w:val="28"/>
        </w:rPr>
        <w:t xml:space="preserve">il </w:t>
      </w:r>
      <w:r w:rsidR="00755DAC" w:rsidRPr="00755DAC">
        <w:rPr>
          <w:rFonts w:ascii="Times New Roman" w:hAnsi="Times New Roman" w:cs="Times New Roman"/>
          <w:sz w:val="28"/>
          <w:szCs w:val="28"/>
        </w:rPr>
        <w:t>sistema d</w:t>
      </w:r>
      <w:r>
        <w:rPr>
          <w:rFonts w:ascii="Times New Roman" w:hAnsi="Times New Roman" w:cs="Times New Roman"/>
          <w:sz w:val="28"/>
          <w:szCs w:val="28"/>
        </w:rPr>
        <w:t>e</w:t>
      </w:r>
      <w:r w:rsidR="00755DAC" w:rsidRPr="00755DAC">
        <w:rPr>
          <w:rFonts w:ascii="Times New Roman" w:hAnsi="Times New Roman" w:cs="Times New Roman"/>
          <w:sz w:val="28"/>
          <w:szCs w:val="28"/>
        </w:rPr>
        <w:t>i limiti</w:t>
      </w:r>
      <w:r>
        <w:rPr>
          <w:rFonts w:ascii="Times New Roman" w:hAnsi="Times New Roman" w:cs="Times New Roman"/>
          <w:sz w:val="28"/>
          <w:szCs w:val="28"/>
        </w:rPr>
        <w:t xml:space="preserve"> al c.d. “</w:t>
      </w:r>
      <w:r w:rsidRPr="00AC2AAB">
        <w:rPr>
          <w:rFonts w:ascii="Times New Roman" w:hAnsi="Times New Roman" w:cs="Times New Roman"/>
          <w:i/>
          <w:iCs/>
          <w:sz w:val="28"/>
          <w:szCs w:val="28"/>
        </w:rPr>
        <w:t>soccorso finanziario</w:t>
      </w:r>
      <w:r>
        <w:rPr>
          <w:rFonts w:ascii="Times New Roman" w:hAnsi="Times New Roman" w:cs="Times New Roman"/>
          <w:sz w:val="28"/>
          <w:szCs w:val="28"/>
        </w:rPr>
        <w:t>”</w:t>
      </w:r>
      <w:r w:rsidR="00755DAC">
        <w:rPr>
          <w:rStyle w:val="Rimandonotaapidipagina"/>
          <w:rFonts w:ascii="Times New Roman" w:hAnsi="Times New Roman" w:cs="Times New Roman"/>
          <w:sz w:val="28"/>
          <w:szCs w:val="28"/>
        </w:rPr>
        <w:footnoteReference w:id="119"/>
      </w:r>
      <w:r w:rsidR="00174A5E">
        <w:rPr>
          <w:rFonts w:ascii="Times New Roman" w:hAnsi="Times New Roman" w:cs="Times New Roman"/>
          <w:sz w:val="28"/>
          <w:szCs w:val="28"/>
        </w:rPr>
        <w:t xml:space="preserve">. </w:t>
      </w:r>
      <w:r w:rsidR="00496B0C">
        <w:rPr>
          <w:rFonts w:ascii="Times New Roman" w:hAnsi="Times New Roman" w:cs="Times New Roman"/>
          <w:sz w:val="28"/>
          <w:szCs w:val="28"/>
        </w:rPr>
        <w:t>Infatti, come c</w:t>
      </w:r>
      <w:r w:rsidR="00755DAC" w:rsidRPr="00755DAC">
        <w:rPr>
          <w:rFonts w:ascii="Times New Roman" w:hAnsi="Times New Roman" w:cs="Times New Roman"/>
          <w:sz w:val="28"/>
          <w:szCs w:val="28"/>
        </w:rPr>
        <w:t>hiarito da</w:t>
      </w:r>
      <w:r w:rsidR="00755DAC">
        <w:rPr>
          <w:rFonts w:ascii="Times New Roman" w:hAnsi="Times New Roman" w:cs="Times New Roman"/>
          <w:sz w:val="28"/>
          <w:szCs w:val="28"/>
        </w:rPr>
        <w:t xml:space="preserve">lla </w:t>
      </w:r>
      <w:r w:rsidR="00496B0C">
        <w:rPr>
          <w:rFonts w:ascii="Times New Roman" w:hAnsi="Times New Roman" w:cs="Times New Roman"/>
          <w:sz w:val="28"/>
          <w:szCs w:val="28"/>
        </w:rPr>
        <w:t>magistratura contabile</w:t>
      </w:r>
      <w:r w:rsidR="00496B0C">
        <w:rPr>
          <w:rStyle w:val="Rimandonotaapidipagina"/>
          <w:rFonts w:ascii="Times New Roman" w:hAnsi="Times New Roman" w:cs="Times New Roman"/>
          <w:sz w:val="28"/>
          <w:szCs w:val="28"/>
        </w:rPr>
        <w:footnoteReference w:id="120"/>
      </w:r>
      <w:r w:rsidR="00496B0C">
        <w:rPr>
          <w:rFonts w:ascii="Times New Roman" w:hAnsi="Times New Roman" w:cs="Times New Roman"/>
          <w:sz w:val="28"/>
          <w:szCs w:val="28"/>
        </w:rPr>
        <w:t xml:space="preserve">, </w:t>
      </w:r>
      <w:r w:rsidR="00755DAC" w:rsidRPr="00755DAC">
        <w:rPr>
          <w:rFonts w:ascii="Times New Roman" w:hAnsi="Times New Roman" w:cs="Times New Roman"/>
          <w:sz w:val="28"/>
          <w:szCs w:val="28"/>
        </w:rPr>
        <w:t xml:space="preserve">pur </w:t>
      </w:r>
      <w:r w:rsidR="00496B0C">
        <w:rPr>
          <w:rFonts w:ascii="Times New Roman" w:hAnsi="Times New Roman" w:cs="Times New Roman"/>
          <w:sz w:val="28"/>
          <w:szCs w:val="28"/>
        </w:rPr>
        <w:t xml:space="preserve">avendo diligentemente effettuato gli </w:t>
      </w:r>
      <w:r w:rsidR="00755DAC" w:rsidRPr="00755DAC">
        <w:rPr>
          <w:rFonts w:ascii="Times New Roman" w:hAnsi="Times New Roman" w:cs="Times New Roman"/>
          <w:sz w:val="28"/>
          <w:szCs w:val="28"/>
        </w:rPr>
        <w:t xml:space="preserve">accantonamenti </w:t>
      </w:r>
      <w:r w:rsidR="00496B0C">
        <w:rPr>
          <w:rFonts w:ascii="Times New Roman" w:hAnsi="Times New Roman" w:cs="Times New Roman"/>
          <w:sz w:val="28"/>
          <w:szCs w:val="28"/>
        </w:rPr>
        <w:t>prescritti dalle norme in esame, un eventuale effettivo</w:t>
      </w:r>
      <w:r w:rsidR="003E32E0">
        <w:rPr>
          <w:rFonts w:ascii="Times New Roman" w:hAnsi="Times New Roman" w:cs="Times New Roman"/>
          <w:sz w:val="28"/>
          <w:szCs w:val="28"/>
        </w:rPr>
        <w:t xml:space="preserve"> intervento a favore </w:t>
      </w:r>
      <w:r w:rsidR="00496B0C" w:rsidRPr="00755DAC">
        <w:rPr>
          <w:rFonts w:ascii="Times New Roman" w:hAnsi="Times New Roman" w:cs="Times New Roman"/>
          <w:sz w:val="28"/>
          <w:szCs w:val="28"/>
        </w:rPr>
        <w:t>d</w:t>
      </w:r>
      <w:r w:rsidR="00496B0C">
        <w:rPr>
          <w:rFonts w:ascii="Times New Roman" w:hAnsi="Times New Roman" w:cs="Times New Roman"/>
          <w:sz w:val="28"/>
          <w:szCs w:val="28"/>
        </w:rPr>
        <w:t xml:space="preserve">i enti strumentali o società partecipate (nelle forme di una ricapitalizzazione, dell’attribuzione di un finanziamento soci, della concessione di una garanzia, etc.) </w:t>
      </w:r>
      <w:r w:rsidR="00496B0C" w:rsidRPr="0034269D">
        <w:rPr>
          <w:rFonts w:ascii="Times New Roman" w:hAnsi="Times New Roman" w:cs="Times New Roman"/>
          <w:sz w:val="28"/>
          <w:szCs w:val="28"/>
          <w:u w:val="single"/>
        </w:rPr>
        <w:t xml:space="preserve">deve osservare alcuni limiti e presupposti, desunti da altre norme contabili o di finanza pubblica, nonché dai principi generali </w:t>
      </w:r>
      <w:r w:rsidR="000E207D" w:rsidRPr="0034269D">
        <w:rPr>
          <w:rFonts w:ascii="Times New Roman" w:hAnsi="Times New Roman" w:cs="Times New Roman"/>
          <w:sz w:val="28"/>
          <w:szCs w:val="28"/>
          <w:u w:val="single"/>
        </w:rPr>
        <w:t>enucleabili dal</w:t>
      </w:r>
      <w:r w:rsidR="00496B0C" w:rsidRPr="0034269D">
        <w:rPr>
          <w:rFonts w:ascii="Times New Roman" w:hAnsi="Times New Roman" w:cs="Times New Roman"/>
          <w:sz w:val="28"/>
          <w:szCs w:val="28"/>
          <w:u w:val="single"/>
        </w:rPr>
        <w:t xml:space="preserve"> codice civile</w:t>
      </w:r>
      <w:r w:rsidR="000E207D" w:rsidRPr="0034269D">
        <w:rPr>
          <w:rFonts w:ascii="Times New Roman" w:hAnsi="Times New Roman" w:cs="Times New Roman"/>
          <w:sz w:val="28"/>
          <w:szCs w:val="28"/>
          <w:u w:val="single"/>
        </w:rPr>
        <w:t>.</w:t>
      </w:r>
      <w:r w:rsidR="00496B0C" w:rsidRPr="0034269D">
        <w:rPr>
          <w:rFonts w:ascii="Times New Roman" w:hAnsi="Times New Roman" w:cs="Times New Roman"/>
          <w:sz w:val="28"/>
          <w:szCs w:val="28"/>
          <w:u w:val="single"/>
        </w:rPr>
        <w:t xml:space="preserve"> </w:t>
      </w:r>
    </w:p>
    <w:p w14:paraId="02A942D1" w14:textId="09F00034" w:rsidR="00755DAC" w:rsidRPr="00755DAC" w:rsidRDefault="000E207D" w:rsidP="00496B0C">
      <w:pPr>
        <w:pStyle w:val="Corpotesto"/>
        <w:spacing w:after="120"/>
        <w:jc w:val="both"/>
        <w:rPr>
          <w:rFonts w:ascii="Times New Roman" w:hAnsi="Times New Roman" w:cs="Times New Roman"/>
          <w:sz w:val="28"/>
          <w:szCs w:val="28"/>
        </w:rPr>
      </w:pPr>
      <w:r>
        <w:rPr>
          <w:rFonts w:ascii="Times New Roman" w:hAnsi="Times New Roman" w:cs="Times New Roman"/>
          <w:sz w:val="28"/>
          <w:szCs w:val="28"/>
        </w:rPr>
        <w:t>Un soccorso finanziario, anche utilizzando i</w:t>
      </w:r>
      <w:r w:rsidR="0034269D">
        <w:rPr>
          <w:rFonts w:ascii="Times New Roman" w:hAnsi="Times New Roman" w:cs="Times New Roman"/>
          <w:sz w:val="28"/>
          <w:szCs w:val="28"/>
        </w:rPr>
        <w:t>l “</w:t>
      </w:r>
      <w:r w:rsidR="0034269D" w:rsidRPr="0034269D">
        <w:rPr>
          <w:rFonts w:ascii="Times New Roman" w:hAnsi="Times New Roman" w:cs="Times New Roman"/>
          <w:i/>
          <w:sz w:val="28"/>
          <w:szCs w:val="28"/>
        </w:rPr>
        <w:t>fondo</w:t>
      </w:r>
      <w:r w:rsidRPr="0034269D">
        <w:rPr>
          <w:rFonts w:ascii="Times New Roman" w:hAnsi="Times New Roman" w:cs="Times New Roman"/>
          <w:i/>
          <w:sz w:val="28"/>
          <w:szCs w:val="28"/>
        </w:rPr>
        <w:t xml:space="preserve"> perdite</w:t>
      </w:r>
      <w:r>
        <w:rPr>
          <w:rFonts w:ascii="Times New Roman" w:hAnsi="Times New Roman" w:cs="Times New Roman"/>
          <w:sz w:val="28"/>
          <w:szCs w:val="28"/>
        </w:rPr>
        <w:t>” in precedenza accantonati</w:t>
      </w:r>
      <w:r w:rsidR="009A52D6">
        <w:rPr>
          <w:rFonts w:ascii="Times New Roman" w:hAnsi="Times New Roman" w:cs="Times New Roman"/>
          <w:sz w:val="28"/>
          <w:szCs w:val="28"/>
        </w:rPr>
        <w:t>,</w:t>
      </w:r>
      <w:r>
        <w:rPr>
          <w:rFonts w:ascii="Times New Roman" w:hAnsi="Times New Roman" w:cs="Times New Roman"/>
          <w:sz w:val="28"/>
          <w:szCs w:val="28"/>
        </w:rPr>
        <w:t xml:space="preserve"> risulta </w:t>
      </w:r>
      <w:r w:rsidR="00755DAC" w:rsidRPr="00755DAC">
        <w:rPr>
          <w:rFonts w:ascii="Times New Roman" w:hAnsi="Times New Roman" w:cs="Times New Roman"/>
          <w:sz w:val="28"/>
          <w:szCs w:val="28"/>
        </w:rPr>
        <w:t>precluso</w:t>
      </w:r>
      <w:r>
        <w:rPr>
          <w:rFonts w:ascii="Times New Roman" w:hAnsi="Times New Roman" w:cs="Times New Roman"/>
          <w:sz w:val="28"/>
          <w:szCs w:val="28"/>
        </w:rPr>
        <w:t>, in primo luogo,</w:t>
      </w:r>
      <w:r w:rsidR="00755DAC" w:rsidRPr="00755DAC">
        <w:rPr>
          <w:rFonts w:ascii="Times New Roman" w:hAnsi="Times New Roman" w:cs="Times New Roman"/>
          <w:sz w:val="28"/>
          <w:szCs w:val="28"/>
        </w:rPr>
        <w:t xml:space="preserve"> allorché </w:t>
      </w:r>
      <w:r>
        <w:rPr>
          <w:rFonts w:ascii="Times New Roman" w:hAnsi="Times New Roman" w:cs="Times New Roman"/>
          <w:sz w:val="28"/>
          <w:szCs w:val="28"/>
        </w:rPr>
        <w:t>la società abbia registrato reiterate perdite di esercizio (cfr. art. 14, comma 5, d.lgs. n. 175/2016</w:t>
      </w:r>
      <w:r>
        <w:rPr>
          <w:rStyle w:val="Rimandonotaapidipagina"/>
          <w:rFonts w:ascii="Times New Roman" w:hAnsi="Times New Roman" w:cs="Times New Roman"/>
          <w:sz w:val="28"/>
          <w:szCs w:val="28"/>
        </w:rPr>
        <w:footnoteReference w:id="121"/>
      </w:r>
      <w:r>
        <w:rPr>
          <w:rFonts w:ascii="Times New Roman" w:hAnsi="Times New Roman" w:cs="Times New Roman"/>
          <w:sz w:val="28"/>
          <w:szCs w:val="28"/>
        </w:rPr>
        <w:t>), se non nella ricorrenza dei presupposti ed utilizzando la procedura prevista dalla legge</w:t>
      </w:r>
      <w:r>
        <w:rPr>
          <w:rStyle w:val="Rimandonotaapidipagina"/>
          <w:rFonts w:ascii="Times New Roman" w:hAnsi="Times New Roman" w:cs="Times New Roman"/>
          <w:sz w:val="28"/>
          <w:szCs w:val="28"/>
        </w:rPr>
        <w:footnoteReference w:id="122"/>
      </w:r>
      <w:r w:rsidR="00913D11">
        <w:rPr>
          <w:rFonts w:ascii="Times New Roman" w:hAnsi="Times New Roman" w:cs="Times New Roman"/>
          <w:sz w:val="28"/>
          <w:szCs w:val="28"/>
        </w:rPr>
        <w:t>.</w:t>
      </w:r>
      <w:r>
        <w:rPr>
          <w:rFonts w:ascii="Times New Roman" w:hAnsi="Times New Roman" w:cs="Times New Roman"/>
          <w:sz w:val="28"/>
          <w:szCs w:val="28"/>
        </w:rPr>
        <w:t xml:space="preserve"> </w:t>
      </w:r>
      <w:r w:rsidR="00755DAC" w:rsidRPr="00755DAC">
        <w:rPr>
          <w:rFonts w:ascii="Times New Roman" w:hAnsi="Times New Roman" w:cs="Times New Roman"/>
          <w:sz w:val="28"/>
          <w:szCs w:val="28"/>
        </w:rPr>
        <w:t xml:space="preserve"> </w:t>
      </w:r>
    </w:p>
    <w:p w14:paraId="42ECC438" w14:textId="0533198A" w:rsidR="00D70DA5" w:rsidRPr="006309F9" w:rsidRDefault="00755DAC" w:rsidP="00755DAC">
      <w:pPr>
        <w:pStyle w:val="Corpotesto"/>
        <w:spacing w:before="0" w:after="120"/>
        <w:jc w:val="both"/>
        <w:rPr>
          <w:rFonts w:ascii="Times New Roman" w:hAnsi="Times New Roman" w:cs="Times New Roman"/>
          <w:sz w:val="28"/>
          <w:szCs w:val="28"/>
        </w:rPr>
      </w:pPr>
      <w:r w:rsidRPr="00755DAC">
        <w:rPr>
          <w:rFonts w:ascii="Times New Roman" w:hAnsi="Times New Roman" w:cs="Times New Roman"/>
          <w:sz w:val="28"/>
          <w:szCs w:val="28"/>
        </w:rPr>
        <w:t>Ne deriva che</w:t>
      </w:r>
      <w:r w:rsidR="00913D11">
        <w:rPr>
          <w:rFonts w:ascii="Times New Roman" w:hAnsi="Times New Roman" w:cs="Times New Roman"/>
          <w:sz w:val="28"/>
          <w:szCs w:val="28"/>
        </w:rPr>
        <w:t xml:space="preserve">, in assenza dell’esposta preclusione normativa, </w:t>
      </w:r>
      <w:r w:rsidRPr="00755DAC">
        <w:rPr>
          <w:rFonts w:ascii="Times New Roman" w:hAnsi="Times New Roman" w:cs="Times New Roman"/>
          <w:sz w:val="28"/>
          <w:szCs w:val="28"/>
        </w:rPr>
        <w:t xml:space="preserve">un ente </w:t>
      </w:r>
      <w:r w:rsidR="00913D11">
        <w:rPr>
          <w:rFonts w:ascii="Times New Roman" w:hAnsi="Times New Roman" w:cs="Times New Roman"/>
          <w:sz w:val="28"/>
          <w:szCs w:val="28"/>
        </w:rPr>
        <w:t>territoriale</w:t>
      </w:r>
      <w:r w:rsidR="00913D11">
        <w:rPr>
          <w:rStyle w:val="Rimandonotaapidipagina"/>
          <w:rFonts w:ascii="Times New Roman" w:hAnsi="Times New Roman" w:cs="Times New Roman"/>
          <w:sz w:val="28"/>
          <w:szCs w:val="28"/>
        </w:rPr>
        <w:footnoteReference w:id="123"/>
      </w:r>
      <w:r w:rsidRPr="00755DAC">
        <w:rPr>
          <w:rFonts w:ascii="Times New Roman" w:hAnsi="Times New Roman" w:cs="Times New Roman"/>
          <w:sz w:val="28"/>
          <w:szCs w:val="28"/>
        </w:rPr>
        <w:t xml:space="preserve"> che dovesse assorbire a carico del proprio bilancio i risultati negativi della gestione di un organismo partecipato, </w:t>
      </w:r>
      <w:r w:rsidR="006E1E3E">
        <w:rPr>
          <w:rFonts w:ascii="Times New Roman" w:hAnsi="Times New Roman" w:cs="Times New Roman"/>
          <w:sz w:val="28"/>
          <w:szCs w:val="28"/>
        </w:rPr>
        <w:t xml:space="preserve">utilizzando gli </w:t>
      </w:r>
      <w:r w:rsidRPr="00755DAC">
        <w:rPr>
          <w:rFonts w:ascii="Times New Roman" w:hAnsi="Times New Roman" w:cs="Times New Roman"/>
          <w:sz w:val="28"/>
          <w:szCs w:val="28"/>
        </w:rPr>
        <w:t xml:space="preserve">accantonamenti </w:t>
      </w:r>
      <w:r w:rsidR="00685633">
        <w:rPr>
          <w:rFonts w:ascii="Times New Roman" w:hAnsi="Times New Roman" w:cs="Times New Roman"/>
          <w:sz w:val="28"/>
          <w:szCs w:val="28"/>
        </w:rPr>
        <w:t xml:space="preserve">effettuati in </w:t>
      </w:r>
      <w:r w:rsidR="006E1E3E">
        <w:rPr>
          <w:rFonts w:ascii="Times New Roman" w:hAnsi="Times New Roman" w:cs="Times New Roman"/>
          <w:sz w:val="28"/>
          <w:szCs w:val="28"/>
        </w:rPr>
        <w:t>precedenza</w:t>
      </w:r>
      <w:r w:rsidRPr="00755DAC">
        <w:rPr>
          <w:rFonts w:ascii="Times New Roman" w:hAnsi="Times New Roman" w:cs="Times New Roman"/>
          <w:sz w:val="28"/>
          <w:szCs w:val="28"/>
        </w:rPr>
        <w:t xml:space="preserve">, </w:t>
      </w:r>
      <w:r w:rsidR="006E1E3E" w:rsidRPr="0034269D">
        <w:rPr>
          <w:rFonts w:ascii="Times New Roman" w:hAnsi="Times New Roman" w:cs="Times New Roman"/>
          <w:sz w:val="28"/>
          <w:szCs w:val="28"/>
          <w:u w:val="single"/>
        </w:rPr>
        <w:t xml:space="preserve">deve </w:t>
      </w:r>
      <w:r w:rsidRPr="0034269D">
        <w:rPr>
          <w:rFonts w:ascii="Times New Roman" w:hAnsi="Times New Roman" w:cs="Times New Roman"/>
          <w:sz w:val="28"/>
          <w:szCs w:val="28"/>
          <w:u w:val="single"/>
        </w:rPr>
        <w:t xml:space="preserve">dimostrare lo specifico interesse </w:t>
      </w:r>
      <w:r w:rsidR="006E1E3E" w:rsidRPr="0034269D">
        <w:rPr>
          <w:rFonts w:ascii="Times New Roman" w:hAnsi="Times New Roman" w:cs="Times New Roman"/>
          <w:sz w:val="28"/>
          <w:szCs w:val="28"/>
          <w:u w:val="single"/>
        </w:rPr>
        <w:t>sottostante l’operazione di soccorso finanziario</w:t>
      </w:r>
      <w:r w:rsidRPr="00755DAC">
        <w:rPr>
          <w:rFonts w:ascii="Times New Roman" w:hAnsi="Times New Roman" w:cs="Times New Roman"/>
          <w:sz w:val="28"/>
          <w:szCs w:val="28"/>
        </w:rPr>
        <w:t xml:space="preserve">, </w:t>
      </w:r>
      <w:r w:rsidR="00174A5E">
        <w:rPr>
          <w:rFonts w:ascii="Times New Roman" w:hAnsi="Times New Roman" w:cs="Times New Roman"/>
          <w:sz w:val="28"/>
          <w:szCs w:val="28"/>
        </w:rPr>
        <w:t>che</w:t>
      </w:r>
      <w:r w:rsidRPr="00755DAC">
        <w:rPr>
          <w:rFonts w:ascii="Times New Roman" w:hAnsi="Times New Roman" w:cs="Times New Roman"/>
          <w:sz w:val="28"/>
          <w:szCs w:val="28"/>
        </w:rPr>
        <w:t xml:space="preserve"> devono essere fondate</w:t>
      </w:r>
      <w:r w:rsidR="006E1E3E">
        <w:rPr>
          <w:rFonts w:ascii="Times New Roman" w:hAnsi="Times New Roman" w:cs="Times New Roman"/>
          <w:sz w:val="28"/>
          <w:szCs w:val="28"/>
        </w:rPr>
        <w:t xml:space="preserve">, oltre che </w:t>
      </w:r>
      <w:r w:rsidRPr="00755DAC">
        <w:rPr>
          <w:rFonts w:ascii="Times New Roman" w:hAnsi="Times New Roman" w:cs="Times New Roman"/>
          <w:sz w:val="28"/>
          <w:szCs w:val="28"/>
        </w:rPr>
        <w:t xml:space="preserve">sulla possibilità di assicurare una </w:t>
      </w:r>
      <w:r w:rsidR="00174A5E">
        <w:rPr>
          <w:rFonts w:ascii="Times New Roman" w:hAnsi="Times New Roman" w:cs="Times New Roman"/>
          <w:sz w:val="28"/>
          <w:szCs w:val="28"/>
        </w:rPr>
        <w:t xml:space="preserve">futura </w:t>
      </w:r>
      <w:r w:rsidRPr="00755DAC">
        <w:rPr>
          <w:rFonts w:ascii="Times New Roman" w:hAnsi="Times New Roman" w:cs="Times New Roman"/>
          <w:sz w:val="28"/>
          <w:szCs w:val="28"/>
        </w:rPr>
        <w:t>continuità aziendale</w:t>
      </w:r>
      <w:r w:rsidR="006E1E3E">
        <w:rPr>
          <w:rFonts w:ascii="Times New Roman" w:hAnsi="Times New Roman" w:cs="Times New Roman"/>
          <w:sz w:val="28"/>
          <w:szCs w:val="28"/>
        </w:rPr>
        <w:t>, sulla preferenza del mantenimento della gestione mediante società</w:t>
      </w:r>
      <w:r w:rsidR="00F65B2D">
        <w:rPr>
          <w:rFonts w:ascii="Times New Roman" w:hAnsi="Times New Roman" w:cs="Times New Roman"/>
          <w:sz w:val="28"/>
          <w:szCs w:val="28"/>
        </w:rPr>
        <w:t xml:space="preserve"> partecipata</w:t>
      </w:r>
      <w:r w:rsidR="006E1E3E">
        <w:rPr>
          <w:rFonts w:ascii="Times New Roman" w:hAnsi="Times New Roman" w:cs="Times New Roman"/>
          <w:sz w:val="28"/>
          <w:szCs w:val="28"/>
        </w:rPr>
        <w:t>, piuttosto che di una interamente internalizzata</w:t>
      </w:r>
      <w:r w:rsidR="006E1E3E">
        <w:rPr>
          <w:rStyle w:val="Rimandonotaapidipagina"/>
          <w:rFonts w:ascii="Times New Roman" w:hAnsi="Times New Roman" w:cs="Times New Roman"/>
          <w:sz w:val="28"/>
          <w:szCs w:val="28"/>
        </w:rPr>
        <w:footnoteReference w:id="124"/>
      </w:r>
      <w:r w:rsidR="006E1E3E">
        <w:rPr>
          <w:rFonts w:ascii="Times New Roman" w:hAnsi="Times New Roman" w:cs="Times New Roman"/>
          <w:sz w:val="28"/>
          <w:szCs w:val="28"/>
        </w:rPr>
        <w:t xml:space="preserve"> o esternalizzata</w:t>
      </w:r>
      <w:r w:rsidR="006E1E3E">
        <w:rPr>
          <w:rStyle w:val="Rimandonotaapidipagina"/>
          <w:rFonts w:ascii="Times New Roman" w:hAnsi="Times New Roman" w:cs="Times New Roman"/>
          <w:sz w:val="28"/>
          <w:szCs w:val="28"/>
        </w:rPr>
        <w:footnoteReference w:id="125"/>
      </w:r>
      <w:r w:rsidR="006E1E3E">
        <w:rPr>
          <w:rFonts w:ascii="Times New Roman" w:hAnsi="Times New Roman" w:cs="Times New Roman"/>
          <w:sz w:val="28"/>
          <w:szCs w:val="28"/>
        </w:rPr>
        <w:t xml:space="preserve"> (interesse che potrebbe ricorrere, per esempio, nelle ipotesi in cui l’ente socio abbia prestato una garanzia personale a favore della società in difficoltà economico-finanziaria</w:t>
      </w:r>
      <w:r w:rsidR="006E1E3E">
        <w:rPr>
          <w:rStyle w:val="Rimandonotaapidipagina"/>
          <w:rFonts w:ascii="Times New Roman" w:hAnsi="Times New Roman" w:cs="Times New Roman"/>
          <w:sz w:val="28"/>
          <w:szCs w:val="28"/>
        </w:rPr>
        <w:footnoteReference w:id="126"/>
      </w:r>
      <w:r w:rsidR="006E1E3E">
        <w:rPr>
          <w:rFonts w:ascii="Times New Roman" w:hAnsi="Times New Roman" w:cs="Times New Roman"/>
          <w:sz w:val="28"/>
          <w:szCs w:val="28"/>
        </w:rPr>
        <w:t xml:space="preserve"> </w:t>
      </w:r>
      <w:r w:rsidR="00685633">
        <w:rPr>
          <w:rFonts w:ascii="Times New Roman" w:hAnsi="Times New Roman" w:cs="Times New Roman"/>
          <w:sz w:val="28"/>
          <w:szCs w:val="28"/>
        </w:rPr>
        <w:t>o abbia la necessità di recuperare al proprio patrimonio beni necessari all’erogazione di servizi pubblici in precedenza conferiti al patrimonio societario</w:t>
      </w:r>
      <w:r w:rsidR="00B65BA8">
        <w:rPr>
          <w:rStyle w:val="Rimandonotaapidipagina"/>
          <w:rFonts w:ascii="Times New Roman" w:hAnsi="Times New Roman" w:cs="Times New Roman"/>
          <w:sz w:val="28"/>
          <w:szCs w:val="28"/>
        </w:rPr>
        <w:footnoteReference w:id="127"/>
      </w:r>
      <w:r w:rsidR="00B65BA8">
        <w:rPr>
          <w:rFonts w:ascii="Times New Roman" w:hAnsi="Times New Roman" w:cs="Times New Roman"/>
          <w:sz w:val="28"/>
          <w:szCs w:val="28"/>
        </w:rPr>
        <w:t>)</w:t>
      </w:r>
      <w:r w:rsidR="00B65BA8">
        <w:rPr>
          <w:rStyle w:val="Rimandonotaapidipagina"/>
          <w:rFonts w:ascii="Times New Roman" w:hAnsi="Times New Roman" w:cs="Times New Roman"/>
          <w:sz w:val="28"/>
          <w:szCs w:val="28"/>
        </w:rPr>
        <w:footnoteReference w:id="128"/>
      </w:r>
      <w:r w:rsidR="00B65BA8">
        <w:rPr>
          <w:rFonts w:ascii="Times New Roman" w:hAnsi="Times New Roman" w:cs="Times New Roman"/>
          <w:sz w:val="28"/>
          <w:szCs w:val="28"/>
        </w:rPr>
        <w:t>.</w:t>
      </w:r>
      <w:r w:rsidR="00685633">
        <w:rPr>
          <w:rFonts w:ascii="Times New Roman" w:hAnsi="Times New Roman" w:cs="Times New Roman"/>
          <w:sz w:val="28"/>
          <w:szCs w:val="28"/>
        </w:rPr>
        <w:t xml:space="preserve"> </w:t>
      </w:r>
    </w:p>
    <w:p w14:paraId="5A4F3094" w14:textId="246130DD" w:rsidR="006309F9" w:rsidRPr="006309F9" w:rsidRDefault="00B65BA8" w:rsidP="00E429F4">
      <w:pPr>
        <w:pStyle w:val="Corpotesto"/>
        <w:spacing w:before="0" w:after="120"/>
        <w:jc w:val="both"/>
        <w:rPr>
          <w:rFonts w:ascii="Times New Roman" w:hAnsi="Times New Roman" w:cs="Times New Roman"/>
          <w:sz w:val="28"/>
          <w:szCs w:val="28"/>
        </w:rPr>
      </w:pPr>
      <w:r>
        <w:rPr>
          <w:rFonts w:ascii="Times New Roman" w:hAnsi="Times New Roman" w:cs="Times New Roman"/>
          <w:sz w:val="28"/>
          <w:szCs w:val="28"/>
        </w:rPr>
        <w:t xml:space="preserve">Infine, in osservanza del comma </w:t>
      </w:r>
      <w:r w:rsidRPr="00B65BA8">
        <w:rPr>
          <w:rFonts w:ascii="Times New Roman" w:hAnsi="Times New Roman" w:cs="Times New Roman"/>
          <w:sz w:val="28"/>
          <w:szCs w:val="28"/>
        </w:rPr>
        <w:t>3-</w:t>
      </w:r>
      <w:r w:rsidRPr="00B65BA8">
        <w:rPr>
          <w:rFonts w:ascii="Times New Roman" w:hAnsi="Times New Roman" w:cs="Times New Roman"/>
          <w:i/>
          <w:sz w:val="28"/>
          <w:szCs w:val="28"/>
        </w:rPr>
        <w:t>bis</w:t>
      </w:r>
      <w:r>
        <w:rPr>
          <w:rFonts w:ascii="Times New Roman" w:hAnsi="Times New Roman" w:cs="Times New Roman"/>
          <w:sz w:val="28"/>
          <w:szCs w:val="28"/>
        </w:rPr>
        <w:t xml:space="preserve"> dell’art. 21 TUSP</w:t>
      </w:r>
      <w:r>
        <w:rPr>
          <w:rStyle w:val="Rimandonotaapidipagina"/>
          <w:rFonts w:ascii="Times New Roman" w:hAnsi="Times New Roman" w:cs="Times New Roman"/>
          <w:sz w:val="28"/>
          <w:szCs w:val="28"/>
        </w:rPr>
        <w:footnoteReference w:id="129"/>
      </w:r>
      <w:r>
        <w:rPr>
          <w:rFonts w:ascii="Times New Roman" w:hAnsi="Times New Roman" w:cs="Times New Roman"/>
          <w:sz w:val="28"/>
          <w:szCs w:val="28"/>
        </w:rPr>
        <w:t>,</w:t>
      </w:r>
      <w:r w:rsidRPr="00B65BA8">
        <w:rPr>
          <w:rFonts w:ascii="Times New Roman" w:hAnsi="Times New Roman" w:cs="Times New Roman"/>
          <w:sz w:val="28"/>
          <w:szCs w:val="28"/>
        </w:rPr>
        <w:t xml:space="preserve"> </w:t>
      </w:r>
      <w:r>
        <w:rPr>
          <w:rFonts w:ascii="Times New Roman" w:hAnsi="Times New Roman" w:cs="Times New Roman"/>
          <w:sz w:val="28"/>
          <w:szCs w:val="28"/>
        </w:rPr>
        <w:t>l</w:t>
      </w:r>
      <w:r w:rsidRPr="00B65BA8">
        <w:rPr>
          <w:rFonts w:ascii="Times New Roman" w:hAnsi="Times New Roman" w:cs="Times New Roman"/>
          <w:sz w:val="28"/>
          <w:szCs w:val="28"/>
        </w:rPr>
        <w:t>e pubbliche amministrazioni locali possono procedere al ripiano delle perdite subite dalla società partecipata</w:t>
      </w:r>
      <w:r>
        <w:rPr>
          <w:rFonts w:ascii="Times New Roman" w:hAnsi="Times New Roman" w:cs="Times New Roman"/>
          <w:sz w:val="28"/>
          <w:szCs w:val="28"/>
        </w:rPr>
        <w:t>,</w:t>
      </w:r>
      <w:r w:rsidRPr="00B65BA8">
        <w:rPr>
          <w:rFonts w:ascii="Times New Roman" w:hAnsi="Times New Roman" w:cs="Times New Roman"/>
          <w:sz w:val="28"/>
          <w:szCs w:val="28"/>
        </w:rPr>
        <w:t xml:space="preserve"> con le somme </w:t>
      </w:r>
      <w:r>
        <w:rPr>
          <w:rFonts w:ascii="Times New Roman" w:hAnsi="Times New Roman" w:cs="Times New Roman"/>
          <w:sz w:val="28"/>
          <w:szCs w:val="28"/>
        </w:rPr>
        <w:t xml:space="preserve">in precedenza </w:t>
      </w:r>
      <w:r w:rsidRPr="00B65BA8">
        <w:rPr>
          <w:rFonts w:ascii="Times New Roman" w:hAnsi="Times New Roman" w:cs="Times New Roman"/>
          <w:sz w:val="28"/>
          <w:szCs w:val="28"/>
        </w:rPr>
        <w:t xml:space="preserve">accantonate, nei limiti della loro quota </w:t>
      </w:r>
      <w:r w:rsidR="00556BCB">
        <w:rPr>
          <w:rFonts w:ascii="Times New Roman" w:hAnsi="Times New Roman" w:cs="Times New Roman"/>
          <w:sz w:val="28"/>
          <w:szCs w:val="28"/>
        </w:rPr>
        <w:t>(percentuale)</w:t>
      </w:r>
      <w:r w:rsidR="00556BCB">
        <w:rPr>
          <w:rStyle w:val="Rimandonotaapidipagina"/>
          <w:rFonts w:ascii="Times New Roman" w:hAnsi="Times New Roman" w:cs="Times New Roman"/>
          <w:sz w:val="28"/>
          <w:szCs w:val="28"/>
        </w:rPr>
        <w:footnoteReference w:id="130"/>
      </w:r>
      <w:r w:rsidR="00556BCB">
        <w:rPr>
          <w:rFonts w:ascii="Times New Roman" w:hAnsi="Times New Roman" w:cs="Times New Roman"/>
          <w:sz w:val="28"/>
          <w:szCs w:val="28"/>
        </w:rPr>
        <w:t xml:space="preserve"> </w:t>
      </w:r>
      <w:r w:rsidRPr="00B65BA8">
        <w:rPr>
          <w:rFonts w:ascii="Times New Roman" w:hAnsi="Times New Roman" w:cs="Times New Roman"/>
          <w:sz w:val="28"/>
          <w:szCs w:val="28"/>
        </w:rPr>
        <w:t>di partecipazione e nel rispetto dei principi e della legislazione dell'Unione europea in tema di aiuti di Stato</w:t>
      </w:r>
      <w:r w:rsidR="003254FA">
        <w:rPr>
          <w:rStyle w:val="Rimandonotaapidipagina"/>
          <w:rFonts w:ascii="Times New Roman" w:hAnsi="Times New Roman" w:cs="Times New Roman"/>
          <w:sz w:val="28"/>
          <w:szCs w:val="28"/>
        </w:rPr>
        <w:footnoteReference w:id="131"/>
      </w:r>
      <w:r w:rsidRPr="00B65BA8">
        <w:rPr>
          <w:rFonts w:ascii="Times New Roman" w:hAnsi="Times New Roman" w:cs="Times New Roman"/>
          <w:sz w:val="28"/>
          <w:szCs w:val="28"/>
        </w:rPr>
        <w:t>.</w:t>
      </w:r>
    </w:p>
    <w:sectPr w:rsidR="006309F9" w:rsidRPr="006309F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B3401" w14:textId="77777777" w:rsidR="005515B8" w:rsidRDefault="005515B8" w:rsidP="00D70DA5">
      <w:pPr>
        <w:spacing w:after="0" w:line="240" w:lineRule="auto"/>
      </w:pPr>
      <w:r>
        <w:separator/>
      </w:r>
    </w:p>
  </w:endnote>
  <w:endnote w:type="continuationSeparator" w:id="0">
    <w:p w14:paraId="5B7624FA" w14:textId="77777777" w:rsidR="005515B8" w:rsidRDefault="005515B8" w:rsidP="00D70DA5">
      <w:pPr>
        <w:spacing w:after="0" w:line="240" w:lineRule="auto"/>
      </w:pPr>
      <w:r>
        <w:continuationSeparator/>
      </w:r>
    </w:p>
  </w:endnote>
  <w:endnote w:type="continuationNotice" w:id="1">
    <w:p w14:paraId="5D29E4F2" w14:textId="77777777" w:rsidR="005515B8" w:rsidRDefault="00551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 Aster">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051362"/>
      <w:docPartObj>
        <w:docPartGallery w:val="Page Numbers (Bottom of Page)"/>
        <w:docPartUnique/>
      </w:docPartObj>
    </w:sdtPr>
    <w:sdtContent>
      <w:p w14:paraId="38185ED5" w14:textId="4ABF8DC6" w:rsidR="00F26F47" w:rsidRDefault="00F26F47">
        <w:pPr>
          <w:pStyle w:val="Pidipagina"/>
          <w:jc w:val="right"/>
        </w:pPr>
        <w:r>
          <w:fldChar w:fldCharType="begin"/>
        </w:r>
        <w:r>
          <w:instrText>PAGE   \* MERGEFORMAT</w:instrText>
        </w:r>
        <w:r>
          <w:fldChar w:fldCharType="separate"/>
        </w:r>
        <w:r>
          <w:t>2</w:t>
        </w:r>
        <w:r>
          <w:fldChar w:fldCharType="end"/>
        </w:r>
      </w:p>
    </w:sdtContent>
  </w:sdt>
  <w:p w14:paraId="78F61923" w14:textId="77777777" w:rsidR="00F26F47" w:rsidRDefault="00F26F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48D3" w14:textId="77777777" w:rsidR="005515B8" w:rsidRDefault="005515B8" w:rsidP="00D70DA5">
      <w:pPr>
        <w:spacing w:after="0" w:line="240" w:lineRule="auto"/>
      </w:pPr>
      <w:r>
        <w:separator/>
      </w:r>
    </w:p>
  </w:footnote>
  <w:footnote w:type="continuationSeparator" w:id="0">
    <w:p w14:paraId="28B1F3B5" w14:textId="77777777" w:rsidR="005515B8" w:rsidRDefault="005515B8" w:rsidP="00D70DA5">
      <w:pPr>
        <w:spacing w:after="0" w:line="240" w:lineRule="auto"/>
      </w:pPr>
      <w:r>
        <w:continuationSeparator/>
      </w:r>
    </w:p>
  </w:footnote>
  <w:footnote w:type="continuationNotice" w:id="1">
    <w:p w14:paraId="074549D6" w14:textId="77777777" w:rsidR="005515B8" w:rsidRDefault="005515B8">
      <w:pPr>
        <w:spacing w:after="0" w:line="240" w:lineRule="auto"/>
      </w:pPr>
    </w:p>
  </w:footnote>
  <w:footnote w:id="2">
    <w:p w14:paraId="151655F0" w14:textId="25D5202D" w:rsidR="009C29FD" w:rsidRPr="00F65B2D" w:rsidRDefault="009C29FD" w:rsidP="00F65B2D">
      <w:pPr>
        <w:spacing w:after="0" w:line="240" w:lineRule="auto"/>
        <w:jc w:val="both"/>
        <w:rPr>
          <w:rFonts w:ascii="Times New Roman" w:hAnsi="Times New Roman" w:cs="Times New Roman"/>
          <w:sz w:val="24"/>
          <w:szCs w:val="24"/>
        </w:rPr>
      </w:pPr>
      <w:r>
        <w:rPr>
          <w:rStyle w:val="Rimandonotaapidipagina"/>
        </w:rPr>
        <w:footnoteRef/>
      </w:r>
      <w:r>
        <w:t xml:space="preserve"> </w:t>
      </w:r>
      <w:r w:rsidRPr="00F65B2D">
        <w:rPr>
          <w:rFonts w:ascii="Times New Roman" w:hAnsi="Times New Roman" w:cs="Times New Roman"/>
          <w:sz w:val="24"/>
          <w:szCs w:val="24"/>
        </w:rPr>
        <w:t>Per approfondimenti, Corte dei conti, Sezione delle Autonomie, deliberazioni n. 4/2015/INPR, “</w:t>
      </w:r>
      <w:r w:rsidRPr="00F65B2D">
        <w:rPr>
          <w:rFonts w:ascii="Times New Roman" w:hAnsi="Times New Roman" w:cs="Times New Roman"/>
          <w:i/>
          <w:sz w:val="24"/>
          <w:szCs w:val="24"/>
        </w:rPr>
        <w:t>Linee di indirizzo per il passaggio alla nuova contabilità delle Regioni e degli Enti locali</w:t>
      </w:r>
      <w:r w:rsidRPr="00F65B2D">
        <w:rPr>
          <w:rFonts w:ascii="Times New Roman" w:hAnsi="Times New Roman" w:cs="Times New Roman"/>
          <w:sz w:val="24"/>
          <w:szCs w:val="24"/>
        </w:rPr>
        <w:t>”, e n. 32/2015/INPR, “</w:t>
      </w:r>
      <w:r w:rsidRPr="00F65B2D">
        <w:rPr>
          <w:rFonts w:ascii="Times New Roman" w:hAnsi="Times New Roman" w:cs="Times New Roman"/>
          <w:i/>
          <w:sz w:val="24"/>
          <w:szCs w:val="24"/>
        </w:rPr>
        <w:t>Linee di indirizzo su aspetti significativi dei bilanci preventivi 2015 nel contesto della contabilità armonizzata</w:t>
      </w:r>
      <w:r w:rsidRPr="00F65B2D">
        <w:rPr>
          <w:rFonts w:ascii="Times New Roman" w:hAnsi="Times New Roman" w:cs="Times New Roman"/>
          <w:sz w:val="24"/>
          <w:szCs w:val="24"/>
        </w:rPr>
        <w:t>”.</w:t>
      </w:r>
    </w:p>
  </w:footnote>
  <w:footnote w:id="3">
    <w:p w14:paraId="0D87157B" w14:textId="1E33981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legge costituzionale n. 1/2012, nel comma premesso all’art. 97, ha associato, anche visivamente, i precetti dell’imparzialità e del buon andamento delle pubbliche amministrazioni a quelli dell’equilibrio dei bilanci e della sostenibilità del debito.</w:t>
      </w:r>
    </w:p>
  </w:footnote>
  <w:footnote w:id="4">
    <w:p w14:paraId="4D7B5523" w14:textId="36BAB33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167, commi 1 e 2, d.lgs. n. 267/2000 e art. 46, commi 1 e 2, d.lgs. n. 118/2011. </w:t>
      </w:r>
    </w:p>
  </w:footnote>
  <w:footnote w:id="5">
    <w:p w14:paraId="3381DCF1" w14:textId="13E6EE5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167, comma 3, d.lgs. n. 267/2000 e art. 46, comma 3, d.lgs. n. 118/2011</w:t>
      </w:r>
    </w:p>
  </w:footnote>
  <w:footnote w:id="6">
    <w:p w14:paraId="3E82C643" w14:textId="0BBF084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Creato in un primo momento in via pretoria (cfr. Corte dei conti, Sezione delle Autonomie, deliberazioni n. 19/2014/QMIG e n. 33/2015/QMIG, nonché </w:t>
      </w:r>
      <w:proofErr w:type="gramStart"/>
      <w:r w:rsidRPr="00F65B2D">
        <w:rPr>
          <w:rFonts w:ascii="Times New Roman" w:hAnsi="Times New Roman" w:cs="Times New Roman"/>
          <w:sz w:val="24"/>
          <w:szCs w:val="24"/>
        </w:rPr>
        <w:t>Corte Costituzionale</w:t>
      </w:r>
      <w:proofErr w:type="gramEnd"/>
      <w:r w:rsidRPr="00F65B2D">
        <w:rPr>
          <w:rFonts w:ascii="Times New Roman" w:hAnsi="Times New Roman" w:cs="Times New Roman"/>
          <w:sz w:val="24"/>
          <w:szCs w:val="24"/>
        </w:rPr>
        <w:t>, sentenza n. 181/2015) e, in seguito, fatto proprio espressamente dal legislatore (cfr. art. 2, comma 6, del d.l. n. 78/2015, convertito dalla legge n. 125/2015).</w:t>
      </w:r>
    </w:p>
  </w:footnote>
  <w:footnote w:id="7">
    <w:p w14:paraId="75BD195F" w14:textId="0C0D7C3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Art. 21 del testo unico delle società pubbliche, d.lgs. n. 175/2016 e, già in precedenza, art. 1, commi 551 e seguenti, della legge n. 147/2013.</w:t>
      </w:r>
    </w:p>
  </w:footnote>
  <w:footnote w:id="8">
    <w:p w14:paraId="2C3CCA53" w14:textId="659DDD9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Le politiche economiche degli Stati membri dell’UE sono coordinate in base a norme di diritto derivato che compongono il c.d. “patto di stabilità e crescita”, che impone, fra l’altro, che ciascun Stato membro consegua un determinato rapporto annuale (tendente al pareggio) fra “disavanzo pubblico” (deficit) e “prodotto interno lordo” (PIL), nonché la dimostrazione del contenimento del “debito pubblico”, sempre in rapporto al PIL (verso la percentuale, ritenuta virtuosa, del 60%). Il </w:t>
      </w:r>
      <w:proofErr w:type="gramStart"/>
      <w:r w:rsidRPr="00F65B2D">
        <w:rPr>
          <w:rFonts w:ascii="Times New Roman" w:hAnsi="Times New Roman" w:cs="Times New Roman"/>
          <w:sz w:val="24"/>
          <w:szCs w:val="24"/>
        </w:rPr>
        <w:t>predetto</w:t>
      </w:r>
      <w:proofErr w:type="gramEnd"/>
      <w:r w:rsidRPr="00F65B2D">
        <w:rPr>
          <w:rFonts w:ascii="Times New Roman" w:hAnsi="Times New Roman" w:cs="Times New Roman"/>
          <w:sz w:val="24"/>
          <w:szCs w:val="24"/>
        </w:rPr>
        <w:t xml:space="preserve"> patto si fonda, principalmente, su due regolamenti (CE), n. 1466/1997 e n. 1467/1997, come emendati, nel 2005, dai regolamenti (UE) n. 1055/2005 e n. 1056/2005 e, nel 2011, dai regolamenti (UE) n. 1175/2011 e n. 1177/2011 (questi ultimi due parte integrante del c.d. Six pack). </w:t>
      </w:r>
    </w:p>
    <w:p w14:paraId="127B5B90" w14:textId="77777777" w:rsidR="009C29FD" w:rsidRPr="00F65B2D" w:rsidRDefault="009C29FD" w:rsidP="00F65B2D">
      <w:pPr>
        <w:pStyle w:val="Testonotaapidipagina"/>
        <w:jc w:val="both"/>
        <w:rPr>
          <w:rFonts w:ascii="Times New Roman" w:hAnsi="Times New Roman" w:cs="Times New Roman"/>
          <w:sz w:val="24"/>
          <w:szCs w:val="24"/>
        </w:rPr>
      </w:pPr>
      <w:r w:rsidRPr="00F65B2D">
        <w:rPr>
          <w:rFonts w:ascii="Times New Roman" w:hAnsi="Times New Roman" w:cs="Times New Roman"/>
          <w:sz w:val="24"/>
          <w:szCs w:val="24"/>
        </w:rPr>
        <w:t>In particolare, l’art. 126 del Trattato sul funzionamento dell’Unione europea (di seguito, TFUE) dispone che “</w:t>
      </w:r>
      <w:r w:rsidRPr="00F65B2D">
        <w:rPr>
          <w:rFonts w:ascii="Times New Roman" w:hAnsi="Times New Roman" w:cs="Times New Roman"/>
          <w:i/>
          <w:sz w:val="24"/>
          <w:szCs w:val="24"/>
        </w:rPr>
        <w:t>gli Stati membri devono evitare disavanzi pubblici eccessivi</w:t>
      </w:r>
      <w:r w:rsidRPr="00F65B2D">
        <w:rPr>
          <w:rFonts w:ascii="Times New Roman" w:hAnsi="Times New Roman" w:cs="Times New Roman"/>
          <w:sz w:val="24"/>
          <w:szCs w:val="24"/>
        </w:rPr>
        <w:t>”, adempimento misurato dai due noti criteri del rapporto tra “</w:t>
      </w:r>
      <w:r w:rsidRPr="00F65B2D">
        <w:rPr>
          <w:rFonts w:ascii="Times New Roman" w:hAnsi="Times New Roman" w:cs="Times New Roman"/>
          <w:i/>
          <w:sz w:val="24"/>
          <w:szCs w:val="24"/>
        </w:rPr>
        <w:t>disavanzo pubblico</w:t>
      </w:r>
      <w:r w:rsidRPr="00F65B2D">
        <w:rPr>
          <w:rFonts w:ascii="Times New Roman" w:hAnsi="Times New Roman" w:cs="Times New Roman"/>
          <w:sz w:val="24"/>
          <w:szCs w:val="24"/>
        </w:rPr>
        <w:t>” e “</w:t>
      </w:r>
      <w:r w:rsidRPr="00F65B2D">
        <w:rPr>
          <w:rFonts w:ascii="Times New Roman" w:hAnsi="Times New Roman" w:cs="Times New Roman"/>
          <w:i/>
          <w:sz w:val="24"/>
          <w:szCs w:val="24"/>
        </w:rPr>
        <w:t>debito pubblico</w:t>
      </w:r>
      <w:r w:rsidRPr="00F65B2D">
        <w:rPr>
          <w:rFonts w:ascii="Times New Roman" w:hAnsi="Times New Roman" w:cs="Times New Roman"/>
          <w:sz w:val="24"/>
          <w:szCs w:val="24"/>
        </w:rPr>
        <w:t xml:space="preserve">” e prodotto interno lordo. </w:t>
      </w:r>
    </w:p>
    <w:p w14:paraId="6BC44113" w14:textId="7216B7C3" w:rsidR="009C29FD" w:rsidRPr="00F65B2D" w:rsidRDefault="009C29FD" w:rsidP="00F65B2D">
      <w:pPr>
        <w:pStyle w:val="Testonotaapidipagina"/>
        <w:jc w:val="both"/>
        <w:rPr>
          <w:rFonts w:ascii="Times New Roman" w:hAnsi="Times New Roman" w:cs="Times New Roman"/>
          <w:sz w:val="24"/>
          <w:szCs w:val="24"/>
        </w:rPr>
      </w:pPr>
      <w:r w:rsidRPr="00F65B2D">
        <w:rPr>
          <w:rFonts w:ascii="Times New Roman" w:hAnsi="Times New Roman" w:cs="Times New Roman"/>
          <w:sz w:val="24"/>
          <w:szCs w:val="24"/>
        </w:rPr>
        <w:t>I valori di riferimento dei due parametri sono poi specificati nel “</w:t>
      </w:r>
      <w:r w:rsidRPr="00F65B2D">
        <w:rPr>
          <w:rFonts w:ascii="Times New Roman" w:hAnsi="Times New Roman" w:cs="Times New Roman"/>
          <w:i/>
          <w:sz w:val="24"/>
          <w:szCs w:val="24"/>
        </w:rPr>
        <w:t>Protocollo sulla procedura per i disavanzi eccessivi</w:t>
      </w:r>
      <w:r w:rsidRPr="00F65B2D">
        <w:rPr>
          <w:rFonts w:ascii="Times New Roman" w:hAnsi="Times New Roman" w:cs="Times New Roman"/>
          <w:sz w:val="24"/>
          <w:szCs w:val="24"/>
        </w:rPr>
        <w:t>”, allegato al TFUE, in cui vengono qualificati “</w:t>
      </w:r>
      <w:r w:rsidRPr="00F65B2D">
        <w:rPr>
          <w:rFonts w:ascii="Times New Roman" w:hAnsi="Times New Roman" w:cs="Times New Roman"/>
          <w:i/>
          <w:sz w:val="24"/>
          <w:szCs w:val="24"/>
        </w:rPr>
        <w:t>pubblici</w:t>
      </w:r>
      <w:r w:rsidRPr="00F65B2D">
        <w:rPr>
          <w:rFonts w:ascii="Times New Roman" w:hAnsi="Times New Roman" w:cs="Times New Roman"/>
          <w:sz w:val="24"/>
          <w:szCs w:val="24"/>
        </w:rPr>
        <w:t>” tutti gli enti (in disparte la natura giuridica posseduta in base al diritto degli Stati membri) aventi le caratteristiche delineate dal Sistema europeo di conti (c.d. SEC 2010, approvato con Regolamento CE del Consiglio n. 549/2013). Di conseguenza, le procedure nazionali in materia di bilancio devono consentire di rispettare gli obblighi derivanti dal Trattato per tutto il perimetro della “pubblica amministrazione”, come in quella sede definito. In tale ottica, il Regolamento (CE) n. 479/2009 del 25 maggio 2009, che disciplina l’applicazione del Protocollo allegato al TFUE, dispone che il settore delle “amministrazioni pubbliche” (S.13) comprende le unità istituzionali che, a titolo di funzione principale, producono servizi non destinabili alla vendita. Ne discende che per “disavanzo pubblico” s’intende l’indebitamento netto risultante dal “conto economico consolidato delle AP” e per “debito pubblico” il valore nominale di tutte le passività del medesimo aggregato.</w:t>
      </w:r>
    </w:p>
  </w:footnote>
  <w:footnote w:id="9">
    <w:p w14:paraId="6D28D2F0" w14:textId="20AB6403"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Costituenti il </w:t>
      </w:r>
      <w:proofErr w:type="gramStart"/>
      <w:r w:rsidRPr="00F65B2D">
        <w:rPr>
          <w:rFonts w:ascii="Times New Roman" w:hAnsi="Times New Roman" w:cs="Times New Roman"/>
          <w:sz w:val="24"/>
          <w:szCs w:val="24"/>
        </w:rPr>
        <w:t>sotto-settore</w:t>
      </w:r>
      <w:proofErr w:type="gramEnd"/>
      <w:r w:rsidRPr="00F65B2D">
        <w:rPr>
          <w:rFonts w:ascii="Times New Roman" w:hAnsi="Times New Roman" w:cs="Times New Roman"/>
          <w:sz w:val="24"/>
          <w:szCs w:val="24"/>
        </w:rPr>
        <w:t xml:space="preserve"> delle “</w:t>
      </w:r>
      <w:r w:rsidRPr="00F65B2D">
        <w:rPr>
          <w:rFonts w:ascii="Times New Roman" w:hAnsi="Times New Roman" w:cs="Times New Roman"/>
          <w:i/>
          <w:sz w:val="24"/>
          <w:szCs w:val="24"/>
        </w:rPr>
        <w:t>amministrazioni locali</w:t>
      </w:r>
      <w:r w:rsidRPr="00F65B2D">
        <w:rPr>
          <w:rFonts w:ascii="Times New Roman" w:hAnsi="Times New Roman" w:cs="Times New Roman"/>
          <w:sz w:val="24"/>
          <w:szCs w:val="24"/>
        </w:rPr>
        <w:t>” presente nel SEC 2010 (Regolamento UE n. 549/2013), costantemente presenti nell’elenco annuale redatto dall’ISTAT, ai sensi dell’art. 1, comma 3, della legge di contabilità e finanza pubblica n. 196/2009.</w:t>
      </w:r>
    </w:p>
  </w:footnote>
  <w:footnote w:id="10">
    <w:p w14:paraId="6CF17AA9" w14:textId="797A18EA" w:rsidR="009C29FD" w:rsidRPr="00F65B2D" w:rsidRDefault="009C29FD" w:rsidP="00F65B2D">
      <w:pPr>
        <w:spacing w:after="0" w:line="240" w:lineRule="auto"/>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entrambi i casi, la parte attiva del bilancio (accertamenti per il bilancio di competenza; residui attivi per la determinazione del risultato d’amministrazione, eventualmente applicabile a copertura di nuove spese in esercizi successivi, cfr. art. 187 d.lgs. n. 267/2000 e art. 42 d.lgs. n. 118/2011), deve essere compensata da una posta calcolata secondo un coefficiente proporzionale alla capacità media di realizzazione dei medesimi crediti del quinquennio precedente (si rimanda, per esempio, a Corte Costituzionale, sentenza 138/2013).</w:t>
      </w:r>
    </w:p>
  </w:footnote>
  <w:footnote w:id="11">
    <w:p w14:paraId="5CF81501" w14:textId="1ADF6C3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Con la sentenza n. 70/2012, la Corte ha avuto modo di precisare che nell’ordinamento finanziario delle amministrazioni pubbliche, i principi del pareggio e dell’equilibrio tendenziale, fissati nell’art. 81 della Costituzione, si realizzano attraverso due regole, una statica e l’altra dinamica: la prima consiste nella parificazione delle previsioni di entrata e spesa; la seconda, fondata sul carattere autorizzatorio del bilancio preventivo, non consente di superare in corso di esercizio gli stanziamenti dallo stesso consentiti. </w:t>
      </w:r>
    </w:p>
  </w:footnote>
  <w:footnote w:id="12">
    <w:p w14:paraId="4D3AD331" w14:textId="35F4A0E9"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Può farsi rinvio, per esempio, alle sentenze della </w:t>
      </w:r>
      <w:proofErr w:type="gramStart"/>
      <w:r w:rsidRPr="00F65B2D">
        <w:rPr>
          <w:rFonts w:ascii="Times New Roman" w:hAnsi="Times New Roman" w:cs="Times New Roman"/>
          <w:sz w:val="24"/>
          <w:szCs w:val="24"/>
        </w:rPr>
        <w:t>Corte Costituzionale</w:t>
      </w:r>
      <w:proofErr w:type="gramEnd"/>
      <w:r w:rsidRPr="00F65B2D">
        <w:rPr>
          <w:rFonts w:ascii="Times New Roman" w:hAnsi="Times New Roman" w:cs="Times New Roman"/>
          <w:sz w:val="24"/>
          <w:szCs w:val="24"/>
        </w:rPr>
        <w:t xml:space="preserve"> n. 181/2015, n. 89/2017</w:t>
      </w:r>
      <w:r w:rsidR="00025844">
        <w:rPr>
          <w:rFonts w:ascii="Times New Roman" w:hAnsi="Times New Roman" w:cs="Times New Roman"/>
          <w:sz w:val="24"/>
          <w:szCs w:val="24"/>
        </w:rPr>
        <w:t xml:space="preserve"> e</w:t>
      </w:r>
      <w:r w:rsidRPr="00F65B2D">
        <w:rPr>
          <w:rFonts w:ascii="Times New Roman" w:hAnsi="Times New Roman" w:cs="Times New Roman"/>
          <w:sz w:val="24"/>
          <w:szCs w:val="24"/>
        </w:rPr>
        <w:t xml:space="preserve"> n. 274/2017</w:t>
      </w:r>
      <w:r w:rsidR="00025844">
        <w:rPr>
          <w:rFonts w:ascii="Times New Roman" w:hAnsi="Times New Roman" w:cs="Times New Roman"/>
          <w:sz w:val="24"/>
          <w:szCs w:val="24"/>
        </w:rPr>
        <w:t>.</w:t>
      </w:r>
    </w:p>
  </w:footnote>
  <w:footnote w:id="13">
    <w:p w14:paraId="3BECCBDB" w14:textId="43CA5C0E"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termini, per esempio, Corte dei conti, Sezione delle Autonomie, deliberazione n. 9/2016/INPR. Si tratta di un’esigenza a volte poco tenuta in considerazione nelle letture giurisprudenziali, tendenti ad associare la prevenzione del rischio con la massima valorizzazione del fondo che ne fornisce copertura, immobilizzando oltre il dovuto una mole di risorse e sottraendo, in tal modo, queste ultime all’erogazione di servizi e all’esercizio di funzioni pubbliche (che un ente territoriale è obbligato a prestare a favore della comunità di riferimento, sulla base della superiore norma di legge attributiva delle competenze). Ogni attività umana, come noto, è foriera di rischi, le cui misure di prevenzione (dalla guida in auto all’esercizio di un’industria, dall’installazione di una caldaia ad una costruzione in zona a rischio sismico) </w:t>
      </w:r>
      <w:r w:rsidR="00A34599">
        <w:rPr>
          <w:rFonts w:ascii="Times New Roman" w:hAnsi="Times New Roman" w:cs="Times New Roman"/>
          <w:sz w:val="24"/>
          <w:szCs w:val="24"/>
        </w:rPr>
        <w:t xml:space="preserve">sono volte </w:t>
      </w:r>
      <w:r w:rsidRPr="00F65B2D">
        <w:rPr>
          <w:rFonts w:ascii="Times New Roman" w:hAnsi="Times New Roman" w:cs="Times New Roman"/>
          <w:sz w:val="24"/>
          <w:szCs w:val="24"/>
        </w:rPr>
        <w:t xml:space="preserve">a minimizzarne gli effetti, non ad eliderne completamente la possibilità di verificazione (pena, in tutti gli esempi fatti, la rinuncia all’attività sociale rischiosa).  </w:t>
      </w:r>
    </w:p>
  </w:footnote>
  <w:footnote w:id="14">
    <w:p w14:paraId="2965C773" w14:textId="299DA343"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 approfondimenti, può farsi rinvio alle sentenze della Corte costituzionale n. 192/2012 e 241/2013.</w:t>
      </w:r>
    </w:p>
  </w:footnote>
  <w:footnote w:id="15">
    <w:p w14:paraId="56FEB03E" w14:textId="3ECD4B3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Vale a dire, iscritti nelle scritture contabili.</w:t>
      </w:r>
    </w:p>
  </w:footnote>
  <w:footnote w:id="16">
    <w:p w14:paraId="7C1C0CC1" w14:textId="4B82B06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 volte, sia il Principio contabile della programmazione (allegato 4/1 al d.lgs. n. 118/2011) che il Principio applicato concernente la contabilità finanziaria (allegato 4/2 al d.lgs. n. 118/2011), usano, con riferimento al FPV in parte spesa, la locuzione “fondo pluriennale di spesa”.  </w:t>
      </w:r>
    </w:p>
  </w:footnote>
  <w:footnote w:id="17">
    <w:p w14:paraId="612A6582" w14:textId="41268284"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norma precisa, inoltre, che “</w:t>
      </w:r>
      <w:r w:rsidRPr="00F65B2D">
        <w:rPr>
          <w:rFonts w:ascii="Times New Roman" w:hAnsi="Times New Roman" w:cs="Times New Roman"/>
          <w:i/>
          <w:sz w:val="24"/>
          <w:szCs w:val="24"/>
        </w:rPr>
        <w:t>agli stanziamenti di spesa riguardanti il fondo pluriennale vincolato è attribuito il codice della missione e del programma di spesa cui il fondo si riferisce e il codice del piano dei conti relativo al fondo pluriennale vincolato</w:t>
      </w:r>
      <w:r w:rsidRPr="00F65B2D">
        <w:rPr>
          <w:rFonts w:ascii="Times New Roman" w:hAnsi="Times New Roman" w:cs="Times New Roman"/>
          <w:sz w:val="24"/>
          <w:szCs w:val="24"/>
        </w:rPr>
        <w:t>”.</w:t>
      </w:r>
    </w:p>
  </w:footnote>
  <w:footnote w:id="18">
    <w:p w14:paraId="33025F1E" w14:textId="49265D0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3, commi 7 e seguenti, del d.lgs. n. 118/2011 e, in particolare, il comma 13 che ha disciplinato il “disavanzo tecnico” da riaccertamento dei residui, quale effetto della reimputazione ad un esercizio, quali impegni, di precedenti residui passivi in misura superiore agli accertamenti, già residui attivi (“</w:t>
      </w:r>
      <w:r w:rsidRPr="00F65B2D">
        <w:rPr>
          <w:rFonts w:ascii="Times New Roman" w:hAnsi="Times New Roman" w:cs="Times New Roman"/>
          <w:i/>
          <w:sz w:val="24"/>
          <w:szCs w:val="24"/>
        </w:rPr>
        <w:t xml:space="preserve">Nel caso in cui a seguito del riaccertamento straordinario di cui al comma 7, i residui passivi reimputati ad un esercizio sono di importo superiore alla somma del fondo pluriennale vincolato stanziato in entrata e dei residui attivi reimputati al medesimo esercizio, tale differenza può essere finanziata con le risorse dell'esercizio o costituire un disavanzo tecnico da coprirsi, nei bilanci degli esercizi successivi con i residui attivi reimputati a tali esercizi eccedenti rispetto alla somma dei residui passivi reimputati e del fondo pluriennale vincolato di entrata. </w:t>
      </w:r>
      <w:r w:rsidRPr="00F65B2D">
        <w:rPr>
          <w:rFonts w:ascii="Times New Roman" w:hAnsi="Times New Roman" w:cs="Times New Roman"/>
          <w:i/>
          <w:sz w:val="24"/>
          <w:szCs w:val="24"/>
          <w:u w:val="single"/>
        </w:rPr>
        <w:t>Gli esercizi per i quali si è determinato il disavanzo tecnico possono essere approvati in disavanzo di competenza, per un importo non superiore al disavanzo tecnico”</w:t>
      </w:r>
      <w:r w:rsidRPr="00F65B2D">
        <w:rPr>
          <w:rFonts w:ascii="Times New Roman" w:hAnsi="Times New Roman" w:cs="Times New Roman"/>
          <w:sz w:val="24"/>
          <w:szCs w:val="24"/>
        </w:rPr>
        <w:t>).</w:t>
      </w:r>
    </w:p>
  </w:footnote>
  <w:footnote w:id="19">
    <w:p w14:paraId="2350AFB5" w14:textId="36188E4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voce</w:t>
      </w:r>
      <w:r w:rsidR="004F51B1">
        <w:rPr>
          <w:rFonts w:ascii="Times New Roman" w:hAnsi="Times New Roman" w:cs="Times New Roman"/>
          <w:sz w:val="24"/>
          <w:szCs w:val="24"/>
        </w:rPr>
        <w:t xml:space="preserve"> in argomento</w:t>
      </w:r>
      <w:r w:rsidRPr="00F65B2D">
        <w:rPr>
          <w:rFonts w:ascii="Times New Roman" w:hAnsi="Times New Roman" w:cs="Times New Roman"/>
          <w:sz w:val="24"/>
          <w:szCs w:val="24"/>
        </w:rPr>
        <w:t>, è opportuno precisarlo, non comprende il fondo pluriennale vincolato</w:t>
      </w:r>
      <w:r w:rsidR="0084709F">
        <w:rPr>
          <w:rFonts w:ascii="Times New Roman" w:hAnsi="Times New Roman" w:cs="Times New Roman"/>
          <w:sz w:val="24"/>
          <w:szCs w:val="24"/>
        </w:rPr>
        <w:t xml:space="preserve"> di spesa</w:t>
      </w:r>
      <w:r w:rsidRPr="00F65B2D">
        <w:rPr>
          <w:rFonts w:ascii="Times New Roman" w:hAnsi="Times New Roman" w:cs="Times New Roman"/>
          <w:sz w:val="24"/>
          <w:szCs w:val="24"/>
        </w:rPr>
        <w:t xml:space="preserve">, ma solo gli impegni derivanti da obbligazioni giuridiche passive assunte in anni precedenti, da iscrivere ed imputare a esercizi successivi (quali, impegni per restituzione quote capitale e interessi di un mutuo, contratti di somministrazione, altri contratti ad esecuzione continuativa e periodica, etc.). </w:t>
      </w:r>
    </w:p>
  </w:footnote>
  <w:footnote w:id="20">
    <w:p w14:paraId="1EFEC0E1" w14:textId="7196B04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ricorda che l’esigibilità di ciascuna obbligazione è individuata nel rispetto del Principio applicato della contabilità finanziaria, di cui all'allegato n. 4.2 al medesimo d.lgs. n. 118/2011.</w:t>
      </w:r>
    </w:p>
  </w:footnote>
  <w:footnote w:id="21">
    <w:p w14:paraId="03BD9930" w14:textId="3EB3F31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187 d.lgs. n. 267/2000, per gli enti locali; art. 42 d.lgs. n. 118/2011, per le regioni. Le modalità di utilizzo del risultato di amministrazione sono indicate dal principio applicato della contabilità finanziaria (Allegato 4/2 al d.lgs. n. 118/2011, paragrafo 9.2).</w:t>
      </w:r>
    </w:p>
  </w:footnote>
  <w:footnote w:id="22">
    <w:p w14:paraId="2F20779E" w14:textId="080868A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Nel corso dell'esercizio, sulla base dei risultati del rendiconto, è determinato l'importo definitivo del fondo pluriennale vincolato stanziato nell’entrata del primo esercizio considerato nel bilancio di previsione e degli impegni assunti negli esercizi precedenti con imputazione a successivi, a cui il FPV di entrata fornisce copertura (cfr. Allegato 4/2 al d.lgs. n. 118/2011, paragrafo 5.4).</w:t>
      </w:r>
    </w:p>
  </w:footnote>
  <w:footnote w:id="23">
    <w:p w14:paraId="5783E3A3" w14:textId="4F6DF984"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Principio applicato della programmazione di bilancio (Allegato 4</w:t>
      </w:r>
      <w:r w:rsidR="00412CE0">
        <w:rPr>
          <w:rFonts w:ascii="Times New Roman" w:hAnsi="Times New Roman" w:cs="Times New Roman"/>
          <w:sz w:val="24"/>
          <w:szCs w:val="24"/>
        </w:rPr>
        <w:t>/</w:t>
      </w:r>
      <w:r w:rsidRPr="00F65B2D">
        <w:rPr>
          <w:rFonts w:ascii="Times New Roman" w:hAnsi="Times New Roman" w:cs="Times New Roman"/>
          <w:sz w:val="24"/>
          <w:szCs w:val="24"/>
        </w:rPr>
        <w:t>1 al d.lgs. n. 118/2011, paragrafo 9.4) precisa, inoltre, che, solo con riferimento al primo esercizio, l'importo complessivo del fondo pluriennale iscritto tra le entrate può risultare inferiore all'importo dei fondi pluriennali di spesa dell'esercizio precedente, nel caso in cui sia possibile stimare o far riferimento, sulla base di dati di preconsuntivo, all'importo, riferito al 31 dicembre dell'anno precedente, degli impegni imputati agli esercizi precedenti finanziati dal fondo pluriennale vincolato.</w:t>
      </w:r>
    </w:p>
  </w:footnote>
  <w:footnote w:id="24">
    <w:p w14:paraId="7D453E1C" w14:textId="1767817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Non “</w:t>
      </w:r>
      <w:r w:rsidRPr="00F65B2D">
        <w:rPr>
          <w:rFonts w:ascii="Times New Roman" w:hAnsi="Times New Roman" w:cs="Times New Roman"/>
          <w:i/>
          <w:sz w:val="24"/>
          <w:szCs w:val="24"/>
        </w:rPr>
        <w:t>solo</w:t>
      </w:r>
      <w:r w:rsidRPr="00F65B2D">
        <w:rPr>
          <w:rFonts w:ascii="Times New Roman" w:hAnsi="Times New Roman" w:cs="Times New Roman"/>
          <w:sz w:val="24"/>
          <w:szCs w:val="24"/>
        </w:rPr>
        <w:t>” vincolate, come pure letteralmente afferma il Principio contabile applicato, posto che, all’interno del medesimo Allegato 4/2 al d.lgs. n. 118/2011, esistono varie ipotesi di generazione di FPV derivante da entrate correnti non vincolate (oltre al caso della formazione susseguente al riaccertamento, ordinario e straordinario, dei residui, di cui al paragrafo 5.4 dell’Allegato in parola, può farsi rinvio a quanto enunciato per l’imputazione degli impegni di spesa, e relativa copertura, destinate al trattamento economico accessorio (Allegato 4/2, paragrafo 5.2).</w:t>
      </w:r>
    </w:p>
  </w:footnote>
  <w:footnote w:id="25">
    <w:p w14:paraId="1BBED23E" w14:textId="1595248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paragrafo 5.4 del Principio contabile applicato, come integrato dal DM 29 agosto 2018, puntualizza che, nel caso di entrate del titolo quinto (“</w:t>
      </w:r>
      <w:r w:rsidRPr="00F65B2D">
        <w:rPr>
          <w:rFonts w:ascii="Times New Roman" w:hAnsi="Times New Roman" w:cs="Times New Roman"/>
          <w:i/>
          <w:sz w:val="24"/>
          <w:szCs w:val="24"/>
        </w:rPr>
        <w:t>Entrate da riduzione di attività finanziarie</w:t>
      </w:r>
      <w:r w:rsidRPr="00F65B2D">
        <w:rPr>
          <w:rFonts w:ascii="Times New Roman" w:hAnsi="Times New Roman" w:cs="Times New Roman"/>
          <w:sz w:val="24"/>
          <w:szCs w:val="24"/>
        </w:rPr>
        <w:t>”)  destinate al finanziamento di spese imputate al titolo terzo (“</w:t>
      </w:r>
      <w:r w:rsidRPr="00F65B2D">
        <w:rPr>
          <w:rFonts w:ascii="Times New Roman" w:hAnsi="Times New Roman" w:cs="Times New Roman"/>
          <w:i/>
          <w:sz w:val="24"/>
          <w:szCs w:val="24"/>
        </w:rPr>
        <w:t>Spese per incremento di attività finanziarie</w:t>
      </w:r>
      <w:r w:rsidRPr="00F65B2D">
        <w:rPr>
          <w:rFonts w:ascii="Times New Roman" w:hAnsi="Times New Roman" w:cs="Times New Roman"/>
          <w:sz w:val="24"/>
          <w:szCs w:val="24"/>
        </w:rPr>
        <w:t>”), accertate e imputate a esercizi precedenti rispetto a quelli di imputazione delle relative spese, al fine di dare attuazione al principio contabile generale della competenza finanziaria, è istituito lo specifico “</w:t>
      </w:r>
      <w:r w:rsidRPr="00F65B2D">
        <w:rPr>
          <w:rFonts w:ascii="Times New Roman" w:hAnsi="Times New Roman" w:cs="Times New Roman"/>
          <w:i/>
          <w:sz w:val="24"/>
          <w:szCs w:val="24"/>
        </w:rPr>
        <w:t>fondo pluriennale vincolato per attività finanziarie</w:t>
      </w:r>
      <w:r w:rsidRPr="00F65B2D">
        <w:rPr>
          <w:rFonts w:ascii="Times New Roman" w:hAnsi="Times New Roman" w:cs="Times New Roman"/>
          <w:sz w:val="24"/>
          <w:szCs w:val="24"/>
        </w:rPr>
        <w:t>”.</w:t>
      </w:r>
    </w:p>
  </w:footnote>
  <w:footnote w:id="26">
    <w:p w14:paraId="48AB9716" w14:textId="4463AC0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rinvia, per approfondimenti sul punto, a SRC Liguria, deliberazione n. 42/2017/PRSE.</w:t>
      </w:r>
    </w:p>
  </w:footnote>
  <w:footnote w:id="27">
    <w:p w14:paraId="7613BFB6" w14:textId="1312C2AA"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Operazione effettuata, dagli enti non sperimentatori, al 1° gennaio 2015 (cfr. art. 3, commi 7 e seguenti, del d.lgs. n. 118/2011). Come evidenziato dalla Sezione delle Autonomie della Corte dei conti, nelle deliberazioni n. 32/2015/INPR e n. 4/2015/INPR, il bilancio di previsione 2015–2017 degli enti territoriali non sperimentatori è stato interessato dai risultati dell’operazione di riaccertamento straordinario dei residui, finalizzata </w:t>
      </w:r>
      <w:proofErr w:type="gramStart"/>
      <w:r w:rsidRPr="00F65B2D">
        <w:rPr>
          <w:rFonts w:ascii="Times New Roman" w:hAnsi="Times New Roman" w:cs="Times New Roman"/>
          <w:sz w:val="24"/>
          <w:szCs w:val="24"/>
        </w:rPr>
        <w:t>ad</w:t>
      </w:r>
      <w:proofErr w:type="gramEnd"/>
      <w:r w:rsidRPr="00F65B2D">
        <w:rPr>
          <w:rFonts w:ascii="Times New Roman" w:hAnsi="Times New Roman" w:cs="Times New Roman"/>
          <w:sz w:val="24"/>
          <w:szCs w:val="24"/>
        </w:rPr>
        <w:t xml:space="preserve"> adeguare i residui attivi e passivi esistenti al 1° gennaio 2015 alla nuova configurazione del principio della competenza finanziaria potenziata. Diretta conseguenza del ridetto adeguamento è stata la prima costituzione del fondo pluriennale vincolato, da iscrivere in entrata del bilancio dell’esercizio 2015, per un importo pari alla differenza, se positiva, tra i residui passivi ed i residui attivi reimputati a successivi esercizi, in ragione della loro stimata esigibilità (contestualmente, è stato rideterminato il risultato di amministrazione al 1° gennaio 2015). La copertura finanziaria delle spese reimputate a cui non corrispondevano entrate riaccertate (o meglio, re-imputate) nel medesimo esercizio, è stata costituita, appunto, dal fondo pluriennale vincolato (viceversa, quando i residui passivi reimputati ad un esercizio successivo sono risultati di importo superiore alla somma di fondo pluriennale vincolato e residui attivi reimputati al medesimo esercizio, si è avuta la formazione di un temporaneo “</w:t>
      </w:r>
      <w:r w:rsidRPr="00F65B2D">
        <w:rPr>
          <w:rFonts w:ascii="Times New Roman" w:hAnsi="Times New Roman" w:cs="Times New Roman"/>
          <w:i/>
          <w:sz w:val="24"/>
          <w:szCs w:val="24"/>
        </w:rPr>
        <w:t>disavanzo tecnico</w:t>
      </w:r>
      <w:r w:rsidRPr="00F65B2D">
        <w:rPr>
          <w:rFonts w:ascii="Times New Roman" w:hAnsi="Times New Roman" w:cs="Times New Roman"/>
          <w:sz w:val="24"/>
          <w:szCs w:val="24"/>
        </w:rPr>
        <w:t>”, ripianabile anche mediante gli “</w:t>
      </w:r>
      <w:r w:rsidRPr="00F65B2D">
        <w:rPr>
          <w:rFonts w:ascii="Times New Roman" w:hAnsi="Times New Roman" w:cs="Times New Roman"/>
          <w:i/>
          <w:sz w:val="24"/>
          <w:szCs w:val="24"/>
        </w:rPr>
        <w:t>avanzi tecnici</w:t>
      </w:r>
      <w:r w:rsidRPr="00F65B2D">
        <w:rPr>
          <w:rFonts w:ascii="Times New Roman" w:hAnsi="Times New Roman" w:cs="Times New Roman"/>
          <w:sz w:val="24"/>
          <w:szCs w:val="24"/>
        </w:rPr>
        <w:t xml:space="preserve">” corrispondentemente generatisi in esercizi precedenti o successivi, cfr. art. 3, commi 13 e 14, del d.lgs. n. 118/2011). </w:t>
      </w:r>
    </w:p>
  </w:footnote>
  <w:footnote w:id="28">
    <w:p w14:paraId="05F5C5E6" w14:textId="0E8B5C4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187 d.lgs. n. 267/2000, per gli enti locali; art. 42 d.lgs. n. 118/2011, per le regioni.</w:t>
      </w:r>
    </w:p>
  </w:footnote>
  <w:footnote w:id="29">
    <w:p w14:paraId="052C93AA" w14:textId="6AC6B76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apposito allegato al bilancio di previsione vanno indicate le spese finanziate dal fondo pluriennale vincolato, distinguendo quelle impegnate negli esercizi precedenti, quelle impegnate nell'esercizio e quelle destinate alla realizzazione di investimenti in corso di definizione. Con riferimento a questi ultimi, l’ente territoriale deve indicare le cause che non hanno reso ancora possibile definire il cronoprogramma della spesa. In allegato al rendiconto dell'esercizio, inoltre, vanno indicati gli impegni imputati agli esercizi successivi a quelli cui si riferisce il rendiconto, finanziati dal fondo pluriennale vincolato di spesa.</w:t>
      </w:r>
    </w:p>
  </w:footnote>
  <w:footnote w:id="30">
    <w:p w14:paraId="5468D8DB" w14:textId="2D28DA3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Ai fini della verifica della congruità della formazione del fondo pluriennale, iscritto in entrata e in uscita, rappresentano elementi fondamentali, tra gli altri:</w:t>
      </w:r>
    </w:p>
    <w:p w14:paraId="55542964" w14:textId="6E65C702" w:rsidR="009C29FD" w:rsidRPr="00F65B2D" w:rsidRDefault="009C29FD" w:rsidP="00F65B2D">
      <w:pPr>
        <w:pStyle w:val="Testonotaapidipagina"/>
        <w:jc w:val="both"/>
        <w:rPr>
          <w:rFonts w:ascii="Times New Roman" w:hAnsi="Times New Roman" w:cs="Times New Roman"/>
          <w:sz w:val="24"/>
          <w:szCs w:val="24"/>
        </w:rPr>
      </w:pPr>
      <w:r w:rsidRPr="00F65B2D">
        <w:rPr>
          <w:rFonts w:ascii="Times New Roman" w:hAnsi="Times New Roman" w:cs="Times New Roman"/>
          <w:sz w:val="24"/>
          <w:szCs w:val="24"/>
        </w:rPr>
        <w:t>- l’esistenza dell’accertamento di entrata, sulla base di un’obbligazione giuridica perfezionata attiva, scaduta ed esigibile, che costituisce la fonte di copertura della spesa correlata, il cui impegno sarà imputato ad uno o più esercizi successivi;</w:t>
      </w:r>
    </w:p>
    <w:p w14:paraId="5021BD36" w14:textId="51908FD6" w:rsidR="009C29FD" w:rsidRPr="00F65B2D" w:rsidRDefault="009C29FD" w:rsidP="00F65B2D">
      <w:pPr>
        <w:pStyle w:val="Testonotaapidipagina"/>
        <w:jc w:val="both"/>
        <w:rPr>
          <w:rFonts w:ascii="Times New Roman" w:hAnsi="Times New Roman" w:cs="Times New Roman"/>
          <w:sz w:val="24"/>
          <w:szCs w:val="24"/>
        </w:rPr>
      </w:pPr>
      <w:r w:rsidRPr="00F65B2D">
        <w:rPr>
          <w:rFonts w:ascii="Times New Roman" w:hAnsi="Times New Roman" w:cs="Times New Roman"/>
          <w:sz w:val="24"/>
          <w:szCs w:val="24"/>
        </w:rPr>
        <w:t>- l’esistenza di un’obbligazione giuridica passiva che legittima l’impegno di spesa, che, in quanto da imputare a esercizi successivi, sarà coperto dal fondo pluriennale vincolato (eventualmente sostituita dalla mera prenotazione di impegno per gara bandita, nel caso di lavori pubblici);</w:t>
      </w:r>
    </w:p>
    <w:p w14:paraId="462512BC" w14:textId="31EAE52D" w:rsidR="009C29FD" w:rsidRPr="00F65B2D" w:rsidRDefault="009C29FD" w:rsidP="00F65B2D">
      <w:pPr>
        <w:pStyle w:val="Testonotaapidipagina"/>
        <w:jc w:val="both"/>
        <w:rPr>
          <w:rFonts w:ascii="Times New Roman" w:hAnsi="Times New Roman" w:cs="Times New Roman"/>
          <w:sz w:val="24"/>
          <w:szCs w:val="24"/>
        </w:rPr>
      </w:pPr>
      <w:r w:rsidRPr="00F65B2D">
        <w:rPr>
          <w:rFonts w:ascii="Times New Roman" w:hAnsi="Times New Roman" w:cs="Times New Roman"/>
          <w:sz w:val="24"/>
          <w:szCs w:val="24"/>
        </w:rPr>
        <w:t xml:space="preserve">- la presenza di un cronoprogramma della spesa, che indichi gli esercizi in cui l’obbligazione giuridica perfezionata andrà a scadere e, come tale, diverrà esigibile. </w:t>
      </w:r>
    </w:p>
  </w:footnote>
  <w:footnote w:id="31">
    <w:p w14:paraId="6D94CE07" w14:textId="431F5523"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 questo riguardo il FPV deve essere articolato tenendo conto delle fonti di finanziamento (entrate vincolate per legge, entrate da debito, entrate da trasferimenti, altre entrate previste dal principio contabile) per distinguere, ad esempio, quale sia la parte del fondo che deriva da debito. </w:t>
      </w:r>
    </w:p>
  </w:footnote>
  <w:footnote w:id="32">
    <w:p w14:paraId="50A844C2" w14:textId="23A3E37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merito, può essere ricordato che l’art. 183, comma 8, del d.lgs. n. 267/2000 (riproducendo analoghe generali disposizioni normative precedenti, cfr. art. 9 del d.l. n. 78/2009, convertito dalla legge n. 102/2009), prescrive che “</w:t>
      </w:r>
      <w:r w:rsidRPr="00F65B2D">
        <w:rPr>
          <w:rFonts w:ascii="Times New Roman" w:hAnsi="Times New Roman" w:cs="Times New Roman"/>
          <w:i/>
          <w:sz w:val="24"/>
          <w:szCs w:val="24"/>
        </w:rPr>
        <w:t>al fine di evitare ritardi nei pagamenti e la formazione di debiti pregressi, il responsabile della spesa che adotta provvedimenti che comportano impegni di spesa ha l'obbligo di accertare preventivamente che il programma dei conseguenti pagamenti sia compatibile con i relativi stanziamenti di cassa e con le regole del patto di stabilità interno; la violazione dell'obbligo di accertamento di cui al presente comma comporta responsabilità disciplinare ed amministrativa. Qualora lo stanziamento di cassa, per ragioni sopravvenute, non consenta di far fronte all'obbligo contrattuale, l'amministrazione adotta le opportune iniziative, anche di tipo contabile, amministrativo o contrattuale, per evitare la formazione di debiti pregressi</w:t>
      </w:r>
      <w:r w:rsidRPr="00F65B2D">
        <w:rPr>
          <w:rFonts w:ascii="Times New Roman" w:hAnsi="Times New Roman" w:cs="Times New Roman"/>
          <w:sz w:val="24"/>
          <w:szCs w:val="24"/>
        </w:rPr>
        <w:t>” (analogo precetto è contenuto, per le regioni, nell’art. 56, comma 6, del d.lgs. n. 118/2011).</w:t>
      </w:r>
    </w:p>
  </w:footnote>
  <w:footnote w:id="33">
    <w:p w14:paraId="202C3AD2" w14:textId="3FDF42E0" w:rsidR="00E858F0" w:rsidRPr="00F65B2D" w:rsidRDefault="00E858F0" w:rsidP="00E858F0">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w:t>
      </w:r>
      <w:r w:rsidR="005D0E84" w:rsidRPr="00F65B2D">
        <w:rPr>
          <w:rFonts w:ascii="Times New Roman" w:hAnsi="Times New Roman" w:cs="Times New Roman"/>
          <w:sz w:val="24"/>
          <w:szCs w:val="24"/>
        </w:rPr>
        <w:t>art. 9 della legge n. 243/2012</w:t>
      </w:r>
      <w:r w:rsidR="004E0546">
        <w:rPr>
          <w:rFonts w:ascii="Times New Roman" w:hAnsi="Times New Roman" w:cs="Times New Roman"/>
          <w:sz w:val="24"/>
          <w:szCs w:val="24"/>
        </w:rPr>
        <w:t xml:space="preserve"> </w:t>
      </w:r>
      <w:r>
        <w:rPr>
          <w:rFonts w:ascii="Times New Roman" w:hAnsi="Times New Roman" w:cs="Times New Roman"/>
          <w:sz w:val="24"/>
          <w:szCs w:val="24"/>
        </w:rPr>
        <w:t>(norma da leggere alla luce dei principi espressi dalla Corte Costituzionale nelle sentenze n. 247/217 e n. 101/2018</w:t>
      </w:r>
      <w:r w:rsidR="004E0546">
        <w:rPr>
          <w:rFonts w:ascii="Times New Roman" w:hAnsi="Times New Roman" w:cs="Times New Roman"/>
          <w:sz w:val="24"/>
          <w:szCs w:val="24"/>
        </w:rPr>
        <w:t>, che hanno consentito l’utilizzazione, ai fini della dimostrazione dell’equilibrio, parziale, in parola anche d</w:t>
      </w:r>
      <w:r w:rsidR="009B2FBE">
        <w:rPr>
          <w:rFonts w:ascii="Times New Roman" w:hAnsi="Times New Roman" w:cs="Times New Roman"/>
          <w:sz w:val="24"/>
          <w:szCs w:val="24"/>
        </w:rPr>
        <w:t>el risultato di amministrazione applicato e del fondo pluriennale vincolato, anche se finanziato da debito</w:t>
      </w:r>
      <w:r>
        <w:rPr>
          <w:rFonts w:ascii="Times New Roman" w:hAnsi="Times New Roman" w:cs="Times New Roman"/>
          <w:sz w:val="24"/>
          <w:szCs w:val="24"/>
        </w:rPr>
        <w:t>)</w:t>
      </w:r>
      <w:r w:rsidR="004E0546" w:rsidRPr="004E0546">
        <w:rPr>
          <w:rFonts w:ascii="Times New Roman" w:hAnsi="Times New Roman" w:cs="Times New Roman"/>
          <w:sz w:val="24"/>
          <w:szCs w:val="24"/>
        </w:rPr>
        <w:t xml:space="preserve"> </w:t>
      </w:r>
      <w:r w:rsidR="00737632">
        <w:rPr>
          <w:rFonts w:ascii="Times New Roman" w:hAnsi="Times New Roman" w:cs="Times New Roman"/>
          <w:sz w:val="24"/>
          <w:szCs w:val="24"/>
        </w:rPr>
        <w:t xml:space="preserve">Si ricorda, che, invece, a seguito della dichiarazione di illegittimità costituzionale dell’art. </w:t>
      </w:r>
      <w:r w:rsidR="004E0546" w:rsidRPr="00F65B2D">
        <w:rPr>
          <w:rFonts w:ascii="Times New Roman" w:hAnsi="Times New Roman" w:cs="Times New Roman"/>
          <w:sz w:val="24"/>
          <w:szCs w:val="24"/>
        </w:rPr>
        <w:t>1, commi 466 e seguenti, della legge n. 232/2016</w:t>
      </w:r>
      <w:r w:rsidR="00737632">
        <w:rPr>
          <w:rFonts w:ascii="Times New Roman" w:hAnsi="Times New Roman" w:cs="Times New Roman"/>
          <w:sz w:val="24"/>
          <w:szCs w:val="24"/>
        </w:rPr>
        <w:t xml:space="preserve"> (sentenza citata n. 101/2018)</w:t>
      </w:r>
      <w:r w:rsidR="004E0546" w:rsidRPr="00F65B2D">
        <w:rPr>
          <w:rFonts w:ascii="Times New Roman" w:hAnsi="Times New Roman" w:cs="Times New Roman"/>
          <w:sz w:val="24"/>
          <w:szCs w:val="24"/>
        </w:rPr>
        <w:t>,</w:t>
      </w:r>
      <w:r w:rsidR="00737632">
        <w:rPr>
          <w:rFonts w:ascii="Times New Roman" w:hAnsi="Times New Roman" w:cs="Times New Roman"/>
          <w:sz w:val="24"/>
          <w:szCs w:val="24"/>
        </w:rPr>
        <w:t xml:space="preserve"> la </w:t>
      </w:r>
      <w:r w:rsidR="00B6051B">
        <w:rPr>
          <w:rFonts w:ascii="Times New Roman" w:hAnsi="Times New Roman" w:cs="Times New Roman"/>
          <w:sz w:val="24"/>
          <w:szCs w:val="24"/>
        </w:rPr>
        <w:t>disciplina in oggetto (che riprendeva quella del previgente “patto di stabilità interno”) è stata superata dall’art. 1, comm</w:t>
      </w:r>
      <w:r w:rsidR="006D4C8A">
        <w:rPr>
          <w:rFonts w:ascii="Times New Roman" w:hAnsi="Times New Roman" w:cs="Times New Roman"/>
          <w:sz w:val="24"/>
          <w:szCs w:val="24"/>
        </w:rPr>
        <w:t xml:space="preserve">i 820 e seguenti, della legge n. 145/2018 </w:t>
      </w:r>
      <w:r w:rsidR="00B53B75">
        <w:rPr>
          <w:rFonts w:ascii="Times New Roman" w:hAnsi="Times New Roman" w:cs="Times New Roman"/>
          <w:sz w:val="24"/>
          <w:szCs w:val="24"/>
        </w:rPr>
        <w:t xml:space="preserve">(poi estesa alle regioni dall’art. 1, comma </w:t>
      </w:r>
      <w:r w:rsidR="00092153">
        <w:rPr>
          <w:rFonts w:ascii="Times New Roman" w:hAnsi="Times New Roman" w:cs="Times New Roman"/>
          <w:sz w:val="24"/>
          <w:szCs w:val="24"/>
        </w:rPr>
        <w:t>541 e seguenti, legge n. 160/2019</w:t>
      </w:r>
      <w:r w:rsidR="0086432F">
        <w:rPr>
          <w:rFonts w:ascii="Times New Roman" w:hAnsi="Times New Roman" w:cs="Times New Roman"/>
          <w:sz w:val="24"/>
          <w:szCs w:val="24"/>
        </w:rPr>
        <w:t xml:space="preserve">), che richiede di dimostrare, anche a consuntivo, un equilibrio complessivo fra tutte le entrate e tutte le spese (senza, peraltro, prevedere, per il momento, alcuna sanzione in caso di inosservanza). </w:t>
      </w:r>
    </w:p>
  </w:footnote>
  <w:footnote w:id="34">
    <w:p w14:paraId="35C7CBDF" w14:textId="172FF28C" w:rsidR="00EF75FB" w:rsidRDefault="00EF75FB">
      <w:pPr>
        <w:pStyle w:val="Testonotaapidipagina"/>
      </w:pPr>
      <w:r>
        <w:rPr>
          <w:rStyle w:val="Rimandonotaapidipagina"/>
        </w:rPr>
        <w:footnoteRef/>
      </w:r>
      <w:r>
        <w:t xml:space="preserve"> Per ulteriori approfondimenti si rinvia ai paragrafi 5.4 e seguenti del Principio contabile applicato concernente la contabilità finanziaria </w:t>
      </w:r>
      <w:r w:rsidR="00BB7E21">
        <w:t>(Allegato 4/2 al d.lgs. n. 118/2011)</w:t>
      </w:r>
      <w:r w:rsidR="00A35483">
        <w:t>, come rivisti a seguito del citato DM 1° marzo 2019.</w:t>
      </w:r>
    </w:p>
  </w:footnote>
  <w:footnote w:id="35">
    <w:p w14:paraId="203C02E9" w14:textId="22AD9BB3"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Similare la formulazione dell’art. 46 del d.lgs. n. 118/2011, per le regioni.</w:t>
      </w:r>
    </w:p>
  </w:footnote>
  <w:footnote w:id="36">
    <w:p w14:paraId="396D6023" w14:textId="7B24465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tale ottica, il</w:t>
      </w:r>
      <w:r w:rsidRPr="00F65B2D">
        <w:rPr>
          <w:rFonts w:ascii="Times New Roman" w:hAnsi="Times New Roman" w:cs="Times New Roman"/>
          <w:bCs/>
          <w:sz w:val="24"/>
          <w:szCs w:val="24"/>
        </w:rPr>
        <w:t xml:space="preserve"> principio contabile applicato, Allegato 4/2 al d.lgs. 118/2011, al paragrafo 3.3, specifica che, </w:t>
      </w:r>
      <w:r w:rsidRPr="00F65B2D">
        <w:rPr>
          <w:rFonts w:ascii="Times New Roman" w:hAnsi="Times New Roman" w:cs="Times New Roman"/>
          <w:bCs/>
          <w:sz w:val="24"/>
          <w:szCs w:val="24"/>
          <w:u w:val="single"/>
        </w:rPr>
        <w:t>fino a quando il fondo crediti di dubbia esigibilità non risulti adeguato, non è possibile utilizzare l’avanzo di amministrazione</w:t>
      </w:r>
      <w:r w:rsidRPr="00F65B2D">
        <w:rPr>
          <w:rFonts w:ascii="Times New Roman" w:hAnsi="Times New Roman" w:cs="Times New Roman"/>
          <w:bCs/>
          <w:sz w:val="24"/>
          <w:szCs w:val="24"/>
        </w:rPr>
        <w:t>. Ne consegue che la dichiarazione di adeguatezza del fondo assume una specifica rilevanza giuridica, attribuita alla competenza dei singoli responsabili della gestione delle entrate di dubbia e difficile esazione, con il coordinamento del responsabile del servizio economico-finanziario e la verifica dell’organo di revisione.</w:t>
      </w:r>
    </w:p>
  </w:footnote>
  <w:footnote w:id="37">
    <w:p w14:paraId="47086192" w14:textId="7928E92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Come noto, l’art. 187, comma 2, del d.lgs. n. 267/2000 (similare la formulazione dell’art. 42 del d.lgs. n. 118/2011, per le regioni) consente di utilizzare la quota “libera” dell'avanzo di amministrazione dell'esercizio precedente, accertato ai sensi dell'art. 186 e quantificato in aderenza al comma 1 del medesimo art. 187 (quale differenza fra il saldo contabile di amministrazione e la somma dei fondi accantonati, vincolati e destinati agli investimenti) a copertura di una serie di spese (debiti fuori bilancio; necessarie alla salvaguardia degli equilibri di bilancio; di investimento; correnti, se a carattere non permanente; estinzione anticipata dei prestiti).</w:t>
      </w:r>
    </w:p>
  </w:footnote>
  <w:footnote w:id="38">
    <w:p w14:paraId="2650EB95" w14:textId="73F77A6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ricorda, in proposito, che il primo accantonamento a fondo crediti di dubbia esigibilità, in aderenza ai nuovi principi contabili, effettuato sulla base dei residui attivi esistenti al 1° gennaio 2015 (art. 3, comma 7, lett. e), del d.lgs. n. 118/2011), è stato la causa, assolutamente prevalente, se il procedimento di riaccertamento dei residui è stato effettuato in aderenza ai dettami del comma 7 dell’art. 3 del d.lgs. n. 118/2011 (nonché del Principio contabile, Allegato 4/2 al d.lgs. n. 118/2011, paragrafo 9.3), del disavanzo d’amministrazione generatosi al termine dell’operazione, ripianabile fino a 30 anni, ex art. 3, commi 15 e 16, del d.lgs. n. 118/2011. L’altra ulteriore unica causa del disavanzo d’amministrazione da riaccertamento straordinario poteva, infatti, derivare dalla cancellazione di residui attivi per assenza di sottostante obbligazione giuridica perfezionata (per approfondimenti può farsi rinvio, solo per fare alcuni esempi, a Corte dei conti, SRC Liguria, deliberazione n. 107/2016/PRSP e SRC Lombardia, deliberazione n. 153/2018/PRSP).  </w:t>
      </w:r>
    </w:p>
  </w:footnote>
  <w:footnote w:id="39">
    <w:p w14:paraId="0B745E30" w14:textId="08F4988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ordine alla “necessaria” contestualità dei presupposti che giustificano le previsioni di spesa con quelli posti a fondamento delle previsioni di entrata, necessarie per la copertura finanziaria delle prime, può farsi rinvio a Corte costituzionale, sentenze n. 250/2013 e n. 213/2008. </w:t>
      </w:r>
    </w:p>
  </w:footnote>
  <w:footnote w:id="40">
    <w:p w14:paraId="081B32DD" w14:textId="79AA4AF3"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particolar modo utilizzato per le sanzioni amministrative per violazioni al codice della strada.</w:t>
      </w:r>
    </w:p>
  </w:footnote>
  <w:footnote w:id="41">
    <w:p w14:paraId="1E14BC5C" w14:textId="7D72E41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Anche se questi ultimi risultavano, in verità, già sostanzialmente omogenei, avendo fonte negli schemi di bilancio approvati dal DPR n. 194/1996.</w:t>
      </w:r>
    </w:p>
  </w:footnote>
  <w:footnote w:id="42">
    <w:p w14:paraId="073F01D1" w14:textId="60C7E444"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Principio contabile applicato concernente la contabilità finanziaria prevede, infatti, alcune tipologie di entrate che devono essere accertate “per cassa” (cfr. Allegato 4/2 al d.lgs. n. 118/2011, paragrafo 3). </w:t>
      </w:r>
    </w:p>
  </w:footnote>
  <w:footnote w:id="43">
    <w:p w14:paraId="4E209FE4" w14:textId="08A716D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Legge, contratto, sentenza provvedimento amministrativo, altro atto o fatto idoneo a produrle secondo l’ordinamento giuridico (cfr. art. 1173 cod. civ.).</w:t>
      </w:r>
    </w:p>
  </w:footnote>
  <w:footnote w:id="44">
    <w:p w14:paraId="313EC4EA" w14:textId="7EC95E0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Inoltre, per le regioni, per le entrate tributarie che finanziano la sanità (accertate sulla base degli atti di riparto) e per le manovre fiscali regionali destinate al finanziamento della sanità (accertate per un importo non superiore a quello stimato dal competente Dipartimento delle finanze del MEF), il Principio applicato (paragrafo 3.3) consente di non effettuare alcun accantonament</w:t>
      </w:r>
      <w:r w:rsidR="00DE60B1">
        <w:rPr>
          <w:rFonts w:ascii="Times New Roman" w:hAnsi="Times New Roman" w:cs="Times New Roman"/>
          <w:sz w:val="24"/>
          <w:szCs w:val="24"/>
        </w:rPr>
        <w:t>o</w:t>
      </w:r>
      <w:r w:rsidRPr="00F65B2D">
        <w:rPr>
          <w:rFonts w:ascii="Times New Roman" w:hAnsi="Times New Roman" w:cs="Times New Roman"/>
          <w:sz w:val="24"/>
          <w:szCs w:val="24"/>
        </w:rPr>
        <w:t xml:space="preserve"> al fondo crediti di dubbia esigibilità.</w:t>
      </w:r>
    </w:p>
  </w:footnote>
  <w:footnote w:id="45">
    <w:p w14:paraId="56909CD3" w14:textId="6D7A3079"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L’eliminazione dei residui attivi di dubbia esigibilità qualora effettuata, pur non essendovi legittimazione legislativa (cfr. art. 3, comma 7, del d.lgs. n, 118/2011, nonché il paragrafo 9.3 dell’Allegato 4/2), in occasione del riaccertamento straordinario al 1° gennaio 2015, in caso di generazione di disavanzo d’amministrazione, può aver, impropriamente, consentito di beneficiare del trattamento agevolato previsto dal legislatore per i maggiori disavanzi derivanti dal riaccertamento straordinario dei residui (cfr. art. 3, commi 15 e 16, del d.lgs. n. 118/2011).</w:t>
      </w:r>
    </w:p>
  </w:footnote>
  <w:footnote w:id="46">
    <w:p w14:paraId="19B7CA05" w14:textId="6988D2B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Secondo quanto disposto dal paragrafo 3.3 e dall’esempio n. 5 del medesimo Principio applicato della contabilità finanziaria, Allegato 4/2 al d.lgs. n. 118/2011.</w:t>
      </w:r>
    </w:p>
  </w:footnote>
  <w:footnote w:id="47">
    <w:p w14:paraId="0E56B0F8" w14:textId="77777777" w:rsidR="008B0473" w:rsidRPr="00F65B2D" w:rsidRDefault="008B0473" w:rsidP="008B0473">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riduzione della quota accantonata a fondo crediti di dubbia esigibilità nel risultato d’amministrazione per un importo pari ai crediti/residui attivi cancellati, prevista dal paragrafo 9 del Principio contabile applicato in esame, si pone in contrasto con le modalità di determinazione del FCDE da accantonare nel risultato d’amministrazione, oggetto di disciplina nel medesimo Principio contabile, allegato 4/2 al d.lgs. n. 118/2011 (al precedente paragrafo 3.3 ed all’Esempio n. 5). Questi ultimi, infatti, prescrivono che la quota da accantonare a FCDE nel risultato d’amministrazione sia proporzionale alla media delle riscossioni in conto residui intervenute nell’ultimo quinquennio. Procedere, invece, come consente il paragrafo 9 del Principio contabile, alla riduzione della quota accantonata a FCDE in “</w:t>
      </w:r>
      <w:r w:rsidRPr="00F65B2D">
        <w:rPr>
          <w:rFonts w:ascii="Times New Roman" w:hAnsi="Times New Roman" w:cs="Times New Roman"/>
          <w:i/>
          <w:sz w:val="24"/>
          <w:szCs w:val="24"/>
        </w:rPr>
        <w:t>misura pari</w:t>
      </w:r>
      <w:r w:rsidRPr="00F65B2D">
        <w:rPr>
          <w:rFonts w:ascii="Times New Roman" w:hAnsi="Times New Roman" w:cs="Times New Roman"/>
          <w:sz w:val="24"/>
          <w:szCs w:val="24"/>
        </w:rPr>
        <w:t xml:space="preserve">” ai crediti/residui attivi non riscossi da oltre tre esercizi (arco temporale a sua volta distonico rispetto ai cinque anni presi in considerazione ai fini della determinazione del FCDE), produce un beneficio netto per l’ente territoriale (seguendo, invece, le regole generali, la ridetta cancellazione avrebbe il solo, corretto, effetto di riparametrare la media delle riscossioni in conto residui, con riferimento all’esercizio di iscrizione del residuo attivo cancellato). </w:t>
      </w:r>
    </w:p>
  </w:footnote>
  <w:footnote w:id="48">
    <w:p w14:paraId="38BACB31" w14:textId="7470EDF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Pertanto, come già sottolineato, la “</w:t>
      </w:r>
      <w:r w:rsidRPr="00F65B2D">
        <w:rPr>
          <w:rFonts w:ascii="Times New Roman" w:hAnsi="Times New Roman" w:cs="Times New Roman"/>
          <w:i/>
          <w:sz w:val="24"/>
          <w:szCs w:val="24"/>
        </w:rPr>
        <w:t>dichiarazione di adeguatezza del fondo</w:t>
      </w:r>
      <w:r w:rsidRPr="00F65B2D">
        <w:rPr>
          <w:rFonts w:ascii="Times New Roman" w:hAnsi="Times New Roman" w:cs="Times New Roman"/>
          <w:sz w:val="24"/>
          <w:szCs w:val="24"/>
        </w:rPr>
        <w:t>”, di competenza del responsabile del servizio economico-finanziario (a cui sono serventi le attestazioni dei vari responsabili delle entrate) assume una specifica rilevanza giuridica.</w:t>
      </w:r>
    </w:p>
  </w:footnote>
  <w:footnote w:id="49">
    <w:p w14:paraId="6240AD23" w14:textId="753A8B5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pensi, per esempio, al c.d. “</w:t>
      </w:r>
      <w:r w:rsidRPr="00F65B2D">
        <w:rPr>
          <w:rFonts w:ascii="Times New Roman" w:hAnsi="Times New Roman" w:cs="Times New Roman"/>
          <w:i/>
          <w:sz w:val="24"/>
          <w:szCs w:val="24"/>
        </w:rPr>
        <w:t>fondo predite società partecipate</w:t>
      </w:r>
      <w:r w:rsidRPr="00F65B2D">
        <w:rPr>
          <w:rFonts w:ascii="Times New Roman" w:hAnsi="Times New Roman" w:cs="Times New Roman"/>
          <w:sz w:val="24"/>
          <w:szCs w:val="24"/>
        </w:rPr>
        <w:t>”, di cui all’art. 21 del d.lgs. n. 175/2016.</w:t>
      </w:r>
    </w:p>
  </w:footnote>
  <w:footnote w:id="50">
    <w:p w14:paraId="22AEA53A" w14:textId="219E62E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 un importo che, in verità, in aderenza ai criteri di quantificazione previsti dal medesimo Principio contabile, potrebbe non essere coincidente, come meglio specificato nel successivo paragrafo del presente capitolo.</w:t>
      </w:r>
    </w:p>
  </w:footnote>
  <w:footnote w:id="51">
    <w:p w14:paraId="3EABFA59" w14:textId="584BFFB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L’accantonamento a FCDE, non costituendo una vera e propria spesa, non rileva</w:t>
      </w:r>
      <w:r w:rsidR="00DD69D1">
        <w:rPr>
          <w:rFonts w:ascii="Times New Roman" w:hAnsi="Times New Roman" w:cs="Times New Roman"/>
          <w:sz w:val="24"/>
          <w:szCs w:val="24"/>
        </w:rPr>
        <w:t>va</w:t>
      </w:r>
      <w:r w:rsidRPr="00F65B2D">
        <w:rPr>
          <w:rFonts w:ascii="Times New Roman" w:hAnsi="Times New Roman" w:cs="Times New Roman"/>
          <w:sz w:val="24"/>
          <w:szCs w:val="24"/>
        </w:rPr>
        <w:t xml:space="preserve">, infatti, ai fini dell’annuale conseguimento del saldo di finanza pubblica (cfr. art. 1, comma 468, legge n. 232/2016, nonché Circolare MEF-RGS n. 20/2018; cfr., altresì, Corte dei conti, Sezione delle Autonomie, deliberazione n. 9/2016/INPR), la cui strutturazione </w:t>
      </w:r>
      <w:r w:rsidR="00F853CB">
        <w:rPr>
          <w:rFonts w:ascii="Times New Roman" w:hAnsi="Times New Roman" w:cs="Times New Roman"/>
          <w:sz w:val="24"/>
          <w:szCs w:val="24"/>
        </w:rPr>
        <w:t>era</w:t>
      </w:r>
      <w:r w:rsidRPr="00F65B2D">
        <w:rPr>
          <w:rFonts w:ascii="Times New Roman" w:hAnsi="Times New Roman" w:cs="Times New Roman"/>
          <w:sz w:val="24"/>
          <w:szCs w:val="24"/>
        </w:rPr>
        <w:t xml:space="preserve"> effettuata secondo la logica economica propria del Sistema europeo dei conti (c.d. SEC 2010, Regolamento UE n. 549/2013). Per approfondimenti sul punto, si rinvia a</w:t>
      </w:r>
      <w:r w:rsidR="00F853CB">
        <w:rPr>
          <w:rFonts w:ascii="Times New Roman" w:hAnsi="Times New Roman" w:cs="Times New Roman"/>
          <w:sz w:val="24"/>
          <w:szCs w:val="24"/>
        </w:rPr>
        <w:t xml:space="preserve"> Corte conti, SSRR in sede di controllo, deliberazione n. 20/2019/QMIG</w:t>
      </w:r>
      <w:r w:rsidRPr="00F65B2D">
        <w:rPr>
          <w:rFonts w:ascii="Times New Roman" w:hAnsi="Times New Roman" w:cs="Times New Roman"/>
          <w:sz w:val="24"/>
          <w:szCs w:val="24"/>
        </w:rPr>
        <w:t xml:space="preserve">.  </w:t>
      </w:r>
    </w:p>
  </w:footnote>
  <w:footnote w:id="52">
    <w:p w14:paraId="69CE4B96" w14:textId="7CB846B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Pertanto, per queste entrate, le regole del Principio contabile applicato (che prevede che le entrate debbano essere accertate e imputate contabilmente all'esercizio in cui è emesso il ruolo ed effettuato un parallelo accantonamento al FCDE) vanno applicate per i ruoli emessi a decorrere dall'entrata in vigore del d.lgs. n. 118/2011. Anche i ruoli coattivi, relativi a ruoli emessi negli esercizi precedenti a quello di entrata in vigore del Principio contabile applicato, devono continuare ad essere accertati per cassa fino al loro esaurimento. Tuttavia, ai fini di una effettiva trasparenza contabile, il medesimo Allegato 4/2 al d.lgs. n. 118/2011 ritiene opportuno indicare tali crediti, al netto del fondo crediti di dubbia esigibilità, tra le immobilizzazioni o nell'attivo circolante (a seconda della scadenza del credito) dello stato patrimoniale (come noto, il decreto sull’armonizzazione ha affiancato alla contabilità finanziaria, un sistema di contabilità economico-patrimoniale, con funzione informativa e conoscitiva, cfr. art. 2 d.lgs. n. 118/2011).</w:t>
      </w:r>
    </w:p>
  </w:footnote>
  <w:footnote w:id="53">
    <w:p w14:paraId="67D6E14C" w14:textId="1781267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2426, n. 8, cod. civ. Medesimo criterio adotta, si precisa, lo stesso d.lgs. n. 118/2011 per i crediti degli enti del sistema sanitario nazionale (oggetto di disciplina nel Titolo II del decreto, cfr., in particolare lo schema di nota integrativa, contenuto nell’Allegato 2/3 al decreto). Si tratta di uno dei numerosi esempi, oltre alla mancata omogeneizzazione degli schemi di bilancio, di come il processo di armonizzazione dei sistemi contabili degli enti pubblici, nonostante gli sforzi programmatici da parte del legislatore (art. 2 legge n. 196/2009) sia molto lontano dall’essere effettivamente attuato (a differenza dell’unitaria disciplina di bilancio prescritta per le imprese private, avente fonte negli artt. 2423, e seguenti, del codice civile, nonché delle leggi speciali in materia, in particolar modo riferite, queste ultime, alle società quotate in borsa).</w:t>
      </w:r>
    </w:p>
  </w:footnote>
  <w:footnote w:id="54">
    <w:p w14:paraId="3881956C" w14:textId="249A007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tratta, si precisa, di una “compressione” della capacità di spesa che opera in maniera indistinta, esplicando effetti su tutte le missioni di spesa dell’ente territoriale, non solo su quelle collegate alla specifica entrata da svalutare (scelta, eventualmente, rimessa al discrezionale apprezzamento dell’ente territoriale). Per approfondimenti sul punto, può farsi rinvio a Corte dei conti, SRC Lombardia, deliberazione n. 35/2018/PRSE. </w:t>
      </w:r>
    </w:p>
  </w:footnote>
  <w:footnote w:id="55">
    <w:p w14:paraId="007FF499" w14:textId="613F4D4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Non nell’“avanzo” di amministrazione, come, altrettanto impropriamente, a volte il Principio contabile applicato (Allegato 4/2 al d.lgs. n. 118/2011) si esprime. Gli artt. 186, 187 e 188 del d.lgs. n. 267/2000 (allo stesso modo, l’art. 42 del d.lgs. n. 118/2011, per le regioni) distinguono concettualmente il “risultato” di amministrazione, comprensivo delle quote accantonate, vincolate e destinate (e, come tale, avente, eventualmente, anche segno negativo, cfr. art. 187, comma 1, TUEL), soggetto ad una propria disciplina (cfr. art. 187, commi 3 e seguenti, TUEL), dall’“avanzo” di amministrazione libero (come tale, ove esistente, avente, per definizione, segno positivo), soggetto a differente disciplina (sia in termini di tempi che di finalità di utilizzazione, cfr. art. 187, comma 2, TUEL e art. 42, comma 6, d.lgs. n. 118/2011).   </w:t>
      </w:r>
    </w:p>
  </w:footnote>
  <w:footnote w:id="56">
    <w:p w14:paraId="1A7CD123" w14:textId="01F6E03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Principio applicato, Allegato 4/2 al d.lgs. n. 188/2011, sempre al paragrafo 3.3, consente agli enti che, negli ultimi tre esercizi, hanno formalmente attivato un processo di accelerazione della capacità di riscossione, di calcolare il fondo crediti di dubbia esigibilità facendo riferimento ai risultati degli ultimi tre esercizi.</w:t>
      </w:r>
    </w:p>
  </w:footnote>
  <w:footnote w:id="57">
    <w:p w14:paraId="4DF4CB2C" w14:textId="45145D13"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Da ultimo aventi fonte nell’art. 1, comma 882, della legge di bilancio per il 2018, n. 205/2017.</w:t>
      </w:r>
    </w:p>
  </w:footnote>
  <w:footnote w:id="58">
    <w:p w14:paraId="0087EDAB" w14:textId="707FE65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Nello specifico, il Principio applicato ha consentito, alle regioni, di accantonare, nel 2015, una quota almeno pari al 50% dell'importo quantificato nel prospetto riguardante il fondo crediti di dubbia esigibilità allegato al bilancio di previsione, percentuale elevata ad almeno il 75% nel 2016 ed al 100% nel 2017. Con riferimento agli enti locali, invece, il medesimo Principio ha prescritto di stanziare, nel 2015, una percentuale dell'importo quantificato nel prospetto riguardante il fondo crediti di dubbia esigibilità pari almeno al 36% (55%, se l'ente aveva aderito alla sperimentazione, di cui all’art. 78 del medesimo d.lgs. n. 118/2011), elevata ad almeno il 55% nel 2016, al 70% nel 2017, al 75% nel 2018, al 85% nel 2019, al 95% nel 2020, per arrivare ad accantonare, obbligatoriamente, l’intero importo del FCDE nel 2021.</w:t>
      </w:r>
    </w:p>
  </w:footnote>
  <w:footnote w:id="59">
    <w:p w14:paraId="1D92C764" w14:textId="75B3BFF0"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Non in “avanzo” di amministrazione, come, ancora una volta, in modo improprio, si esprime il paragrafo 3.3 del Principio contabile applicato, Allegato 4/2 al d.lgs. n. 118/2011.</w:t>
      </w:r>
    </w:p>
  </w:footnote>
  <w:footnote w:id="60">
    <w:p w14:paraId="739B28A0" w14:textId="2EC048F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Allegato c) allo schema di rendiconto, di cui all’Allegato n. 10 al d.lgs. n. 118/2011.</w:t>
      </w:r>
    </w:p>
  </w:footnote>
  <w:footnote w:id="61">
    <w:p w14:paraId="1CAD1E4B" w14:textId="0B4F7DB8" w:rsidR="009C29FD" w:rsidRPr="00F65B2D" w:rsidRDefault="009C29FD" w:rsidP="00F65B2D">
      <w:pPr>
        <w:pStyle w:val="Corpotesto"/>
        <w:spacing w:before="0"/>
        <w:ind w:firstLine="0"/>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paragrafo 3.3 del Principio contabile applicato concernente la contabilità finanziaria (Allegato 4/2 al d.lgs. n. 118/2011) dispone, altresì, che, in sede di assestamento di bilancio e alla fine dell'esercizio, vada verificata la congruità del fondo crediti di dubbia esigibilità complessivamente accantonato. Al fine di adeguare l'importo del fondo crediti di dubbia esigibilità si procede: a) in sede di assestamento, alla variazione dello stanziamento di bilancio riguardante l'accantonamento a FCDE; b) in sede di rendiconto, vincolando o svincolando quote del risultato d’amministrazione. </w:t>
      </w:r>
    </w:p>
  </w:footnote>
  <w:footnote w:id="62">
    <w:p w14:paraId="4FC12EF8" w14:textId="1914555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aderenza all’anomalo meccanismo di aggiornamento dei principi contabili allegati al d.lgs. n. 118/2011, previsto dall’art. 3, comma 6, del medesimo decreto (“</w:t>
      </w:r>
      <w:r w:rsidRPr="00F65B2D">
        <w:rPr>
          <w:rFonts w:ascii="Times New Roman" w:hAnsi="Times New Roman" w:cs="Times New Roman"/>
          <w:i/>
          <w:sz w:val="24"/>
          <w:szCs w:val="24"/>
        </w:rPr>
        <w:t>I principi contabili applicati di cui al comma 1 sono aggiornati con decreto del Ministero dell'economia e delle finanze - Dipartimento della Ragioneria generale dello Stato, di concerto con il Ministero dell'interno - Dipartimento per gli affari interni e territoriali e la Presidenza del Consiglio dei ministri - Dipartimento per gli affari regionali, su proposta della Commissione per l'armonizzazione contabile degli enti territoriali di cui all'art. 3-bis</w:t>
      </w:r>
      <w:r w:rsidRPr="00F65B2D">
        <w:rPr>
          <w:rFonts w:ascii="Times New Roman" w:hAnsi="Times New Roman" w:cs="Times New Roman"/>
          <w:sz w:val="24"/>
          <w:szCs w:val="24"/>
        </w:rPr>
        <w:t xml:space="preserve">”), che consente che le disposizioni contenute nei principi contabili applicati, che, per espressa previsione normativa (art. 3, comma 1, d.lgs. n. 118/2011), “costituiscono parte integrante al presente decreto“, possano, invece, essere modificati e integrati da un fonte di grado inferiore. </w:t>
      </w:r>
    </w:p>
  </w:footnote>
  <w:footnote w:id="63">
    <w:p w14:paraId="1B6CD5F6" w14:textId="45105C0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3, commi 15 e 16, del d.lgs. n. 118/2011, nonché il successivo DM applicativo del 2 aprile 2015.</w:t>
      </w:r>
    </w:p>
  </w:footnote>
  <w:footnote w:id="64">
    <w:p w14:paraId="30AA0CCB" w14:textId="04E4EBE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solo per fare alcuni esempi, SRC Lombardia, deliberazioni n. 164/2017/PRSP, n. 253/2017/PRSP, n. 255/2017/PRSP e n. 289/2017/PRSP.</w:t>
      </w:r>
    </w:p>
  </w:footnote>
  <w:footnote w:id="65">
    <w:p w14:paraId="4FD4E6B8" w14:textId="68CE55D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Sezione delle Autonomie della Corte dei conti, nella deliberazione n. 32/2015/INPR, ha evidenziato che la facoltà, sopra esposta, di utilizzare, in sede di calcolo del FCDE quale quota accantonata del risultato d’amministrazione, il metodo c.d. semplificato introduce un elemento di gradualità nel </w:t>
      </w:r>
      <w:proofErr w:type="gramStart"/>
      <w:r w:rsidRPr="00F65B2D">
        <w:rPr>
          <w:rFonts w:ascii="Times New Roman" w:hAnsi="Times New Roman" w:cs="Times New Roman"/>
          <w:sz w:val="24"/>
          <w:szCs w:val="24"/>
        </w:rPr>
        <w:t>predetto</w:t>
      </w:r>
      <w:proofErr w:type="gramEnd"/>
      <w:r w:rsidRPr="00F65B2D">
        <w:rPr>
          <w:rFonts w:ascii="Times New Roman" w:hAnsi="Times New Roman" w:cs="Times New Roman"/>
          <w:sz w:val="24"/>
          <w:szCs w:val="24"/>
        </w:rPr>
        <w:t xml:space="preserve"> accantonamento, “</w:t>
      </w:r>
      <w:r w:rsidRPr="00F65B2D">
        <w:rPr>
          <w:rFonts w:ascii="Times New Roman" w:hAnsi="Times New Roman" w:cs="Times New Roman"/>
          <w:i/>
          <w:sz w:val="24"/>
          <w:szCs w:val="24"/>
        </w:rPr>
        <w:t>modificando l’originaria previsione dell’integrale copertura in sede di rendiconto, a fronte della previsione agevolata in sede di bilancio di previsione</w:t>
      </w:r>
      <w:r w:rsidRPr="00F65B2D">
        <w:rPr>
          <w:rFonts w:ascii="Times New Roman" w:hAnsi="Times New Roman" w:cs="Times New Roman"/>
          <w:sz w:val="24"/>
          <w:szCs w:val="24"/>
        </w:rPr>
        <w:t>”. Invero, si tratta di una facoltà che, in presenza di sostanziale stabilità nel tempo dell’ammontare delle entrate e del relativo tasso di riscossione, non dovrebbe (come affermato dallo stesso Principio contabile) produrre risultati sensibilmente divergenti dal metodo ordinario. Infatti, il primo elemento dell’operazione</w:t>
      </w:r>
      <w:r w:rsidR="00513969">
        <w:rPr>
          <w:rFonts w:ascii="Times New Roman" w:hAnsi="Times New Roman" w:cs="Times New Roman"/>
          <w:sz w:val="24"/>
          <w:szCs w:val="24"/>
        </w:rPr>
        <w:t>,</w:t>
      </w:r>
      <w:r w:rsidRPr="00F65B2D">
        <w:rPr>
          <w:rFonts w:ascii="Times New Roman" w:hAnsi="Times New Roman" w:cs="Times New Roman"/>
          <w:sz w:val="24"/>
          <w:szCs w:val="24"/>
        </w:rPr>
        <w:t xml:space="preserve"> riportata nella tabella soprastante</w:t>
      </w:r>
      <w:r w:rsidR="00513969">
        <w:rPr>
          <w:rFonts w:ascii="Times New Roman" w:hAnsi="Times New Roman" w:cs="Times New Roman"/>
          <w:sz w:val="24"/>
          <w:szCs w:val="24"/>
        </w:rPr>
        <w:t>,</w:t>
      </w:r>
      <w:r w:rsidRPr="00F65B2D">
        <w:rPr>
          <w:rFonts w:ascii="Times New Roman" w:hAnsi="Times New Roman" w:cs="Times New Roman"/>
          <w:sz w:val="24"/>
          <w:szCs w:val="24"/>
        </w:rPr>
        <w:t xml:space="preserve"> è costituito dall’ammontare di FCDE accantonato, integralmente, in occasione del riaccertamento straordinario dei residui al 1° gennaio 2015. A quest’ultimo, in ragione del metodo semplificato, si sottraggono gli eventuali utilizzi (letteralmente, peraltro, </w:t>
      </w:r>
      <w:r w:rsidR="00BB78C4">
        <w:rPr>
          <w:rFonts w:ascii="Times New Roman" w:hAnsi="Times New Roman" w:cs="Times New Roman"/>
          <w:sz w:val="24"/>
          <w:szCs w:val="24"/>
        </w:rPr>
        <w:t>l</w:t>
      </w:r>
      <w:r w:rsidRPr="00F65B2D">
        <w:rPr>
          <w:rFonts w:ascii="Times New Roman" w:hAnsi="Times New Roman" w:cs="Times New Roman"/>
          <w:sz w:val="24"/>
          <w:szCs w:val="24"/>
        </w:rPr>
        <w:t xml:space="preserve">a sola cancellazione, non, come ha avuto poi comunque modo di affermare la giurisprudenza contabile, anche </w:t>
      </w:r>
      <w:r w:rsidR="00BB78C4">
        <w:rPr>
          <w:rFonts w:ascii="Times New Roman" w:hAnsi="Times New Roman" w:cs="Times New Roman"/>
          <w:sz w:val="24"/>
          <w:szCs w:val="24"/>
        </w:rPr>
        <w:t>l</w:t>
      </w:r>
      <w:r w:rsidRPr="00F65B2D">
        <w:rPr>
          <w:rFonts w:ascii="Times New Roman" w:hAnsi="Times New Roman" w:cs="Times New Roman"/>
          <w:sz w:val="24"/>
          <w:szCs w:val="24"/>
        </w:rPr>
        <w:t xml:space="preserve">a riscossione) e si somma l’importo dell’accantonamento a FCDE effettuato nel bilancio di competenza dell’esercizio (quest’ultimo </w:t>
      </w:r>
      <w:r w:rsidR="00513969">
        <w:rPr>
          <w:rFonts w:ascii="Times New Roman" w:hAnsi="Times New Roman" w:cs="Times New Roman"/>
          <w:sz w:val="24"/>
          <w:szCs w:val="24"/>
        </w:rPr>
        <w:t xml:space="preserve">addendo </w:t>
      </w:r>
      <w:r w:rsidRPr="00F65B2D">
        <w:rPr>
          <w:rFonts w:ascii="Times New Roman" w:hAnsi="Times New Roman" w:cs="Times New Roman"/>
          <w:sz w:val="24"/>
          <w:szCs w:val="24"/>
        </w:rPr>
        <w:t>eventualmente ridotto</w:t>
      </w:r>
      <w:r w:rsidR="00513969">
        <w:rPr>
          <w:rFonts w:ascii="Times New Roman" w:hAnsi="Times New Roman" w:cs="Times New Roman"/>
          <w:sz w:val="24"/>
          <w:szCs w:val="24"/>
        </w:rPr>
        <w:t>, fin</w:t>
      </w:r>
      <w:r w:rsidR="00205D45">
        <w:rPr>
          <w:rFonts w:ascii="Times New Roman" w:hAnsi="Times New Roman" w:cs="Times New Roman"/>
          <w:sz w:val="24"/>
          <w:szCs w:val="24"/>
        </w:rPr>
        <w:t>o</w:t>
      </w:r>
      <w:r w:rsidR="00513969">
        <w:rPr>
          <w:rFonts w:ascii="Times New Roman" w:hAnsi="Times New Roman" w:cs="Times New Roman"/>
          <w:sz w:val="24"/>
          <w:szCs w:val="24"/>
        </w:rPr>
        <w:t xml:space="preserve"> al 2021,</w:t>
      </w:r>
      <w:r w:rsidRPr="00F65B2D">
        <w:rPr>
          <w:rFonts w:ascii="Times New Roman" w:hAnsi="Times New Roman" w:cs="Times New Roman"/>
          <w:sz w:val="24"/>
          <w:szCs w:val="24"/>
        </w:rPr>
        <w:t xml:space="preserve"> delle percentuali previste dal Principio contabile applicato). Il risultato (quota da accantonare, a titolo di FCDE, in sede di rendiconto) potrebbe non divergere, o addirittura essere superiore, a quello del metodo ordinario (che, come già esposto, si basa sulla valutazione della percentuale di incasso in conto residui), nei casi in cui il tasso di riscossione dei residui sia rimasto invariato o sia cresciuto.</w:t>
      </w:r>
    </w:p>
  </w:footnote>
  <w:footnote w:id="66">
    <w:p w14:paraId="67309D0C" w14:textId="25CF052E"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Sul punto, la Sezione delle Autonomie, nella citata deliberazione n. 32/2015/INPR, aveva sottolineato come, a tal fine, occorre esaminare gli effetti sugli equilibri di bilancio di competenza e, soprattutto, di cassa, nonché verificare l’adeguatezza del fondo crediti di dubbia esigibilità iscritto nel risultato di amministrazione al 1° gennaio 2015 (primo e fondamentale elemento dell’operazione), oltre che l’accantonamento stanziato nel bilancio di previsione (degli anni dal 2015 al 2018, in cui la facoltà è stata utilizzabile). Tuttavia, posto che una qualsiasi eventuale rideterminazione in riduzione della quota accantonata a FCDE nel risultato d’amministrazione (rispetto all’effettivo tasso di riscossione dei residui attivi) produce, quale conseguenza diretta, un’espansione dell’avanzo libero, genera, necessariamente, in prospettiva futura, se trattasi di avanzo non supportato da cassa o residui attivi riscuotibili, un potenziale “disavanzo” in misura simmetrica.</w:t>
      </w:r>
    </w:p>
  </w:footnote>
  <w:footnote w:id="67">
    <w:p w14:paraId="1FF5C8E5" w14:textId="4E81236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Anche in questo caso il paragrafo 3.3 del Principio contabile applicato, Allegato 4/2 al d.lgs. n. 118/2011 (allo stesso modo di quanto già osservato per il paragrafo 9 del medesimo Principio) introduce una disposizione distonica rispetto all’esposto criterio generale di determinazione del FCDE in sede di rendiconto. Se, infatti, quest’ultimo è funzione della media del tasso di riscossione dei residui attivi nell’ultimo quinquennio, un’eventuale cancellazione di questi ultimi </w:t>
      </w:r>
      <w:r w:rsidR="00F04651">
        <w:rPr>
          <w:rFonts w:ascii="Times New Roman" w:hAnsi="Times New Roman" w:cs="Times New Roman"/>
          <w:sz w:val="24"/>
          <w:szCs w:val="24"/>
        </w:rPr>
        <w:t xml:space="preserve">può </w:t>
      </w:r>
      <w:r w:rsidRPr="00F65B2D">
        <w:rPr>
          <w:rFonts w:ascii="Times New Roman" w:hAnsi="Times New Roman" w:cs="Times New Roman"/>
          <w:sz w:val="24"/>
          <w:szCs w:val="24"/>
        </w:rPr>
        <w:t>influenza</w:t>
      </w:r>
      <w:r w:rsidR="00F04651">
        <w:rPr>
          <w:rFonts w:ascii="Times New Roman" w:hAnsi="Times New Roman" w:cs="Times New Roman"/>
          <w:sz w:val="24"/>
          <w:szCs w:val="24"/>
        </w:rPr>
        <w:t>re</w:t>
      </w:r>
      <w:r w:rsidRPr="00F65B2D">
        <w:rPr>
          <w:rFonts w:ascii="Times New Roman" w:hAnsi="Times New Roman" w:cs="Times New Roman"/>
          <w:sz w:val="24"/>
          <w:szCs w:val="24"/>
        </w:rPr>
        <w:t xml:space="preserve"> la </w:t>
      </w:r>
      <w:proofErr w:type="gramStart"/>
      <w:r w:rsidRPr="00F65B2D">
        <w:rPr>
          <w:rFonts w:ascii="Times New Roman" w:hAnsi="Times New Roman" w:cs="Times New Roman"/>
          <w:sz w:val="24"/>
          <w:szCs w:val="24"/>
        </w:rPr>
        <w:t>predetta</w:t>
      </w:r>
      <w:proofErr w:type="gramEnd"/>
      <w:r w:rsidRPr="00F65B2D">
        <w:rPr>
          <w:rFonts w:ascii="Times New Roman" w:hAnsi="Times New Roman" w:cs="Times New Roman"/>
          <w:sz w:val="24"/>
          <w:szCs w:val="24"/>
        </w:rPr>
        <w:t xml:space="preserve"> media, ma non dovrebbe comportare (come, invece, affermato dal Principio) una, algebricamente più elevata, riduzione netta della quota da accantonare a FCDE nel risultato d’amministrazione.</w:t>
      </w:r>
    </w:p>
  </w:footnote>
  <w:footnote w:id="68">
    <w:p w14:paraId="2703C1B6" w14:textId="5DB4DD09"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w:t>
      </w:r>
      <w:r w:rsidR="00205D45">
        <w:rPr>
          <w:rFonts w:ascii="Times New Roman" w:hAnsi="Times New Roman" w:cs="Times New Roman"/>
          <w:sz w:val="24"/>
          <w:szCs w:val="24"/>
        </w:rPr>
        <w:t>F</w:t>
      </w:r>
      <w:r w:rsidRPr="00F65B2D">
        <w:rPr>
          <w:rFonts w:ascii="Times New Roman" w:hAnsi="Times New Roman" w:cs="Times New Roman"/>
          <w:sz w:val="24"/>
          <w:szCs w:val="24"/>
        </w:rPr>
        <w:t xml:space="preserve">acoltà che, in base alle motivazioni della sentenza della </w:t>
      </w:r>
      <w:proofErr w:type="gramStart"/>
      <w:r w:rsidRPr="00F65B2D">
        <w:rPr>
          <w:rFonts w:ascii="Times New Roman" w:hAnsi="Times New Roman" w:cs="Times New Roman"/>
          <w:sz w:val="24"/>
          <w:szCs w:val="24"/>
        </w:rPr>
        <w:t>Corte Costituzionale</w:t>
      </w:r>
      <w:proofErr w:type="gramEnd"/>
      <w:r w:rsidRPr="00F65B2D">
        <w:rPr>
          <w:rFonts w:ascii="Times New Roman" w:hAnsi="Times New Roman" w:cs="Times New Roman"/>
          <w:sz w:val="24"/>
          <w:szCs w:val="24"/>
        </w:rPr>
        <w:t xml:space="preserve"> n. 274/2017, risulterebbe preclusa agli enti territoriali che hanno chiuso il rendiconto in disavanzo d’amministrazione (anche se determinato, come nel caso specifico era accaduto, dalla contabilizzazione di vincoli e accantonamenti, cfr. art. 187 d.lgs. n. 267/2000 e art. 42 d.lgs. n. 118/2011). Trattasi, tuttavia, di conclusione interpretativa da approfondire alla luce delle differenze che la disciplina in materia di armonizzazione dei sistemi contabili degli enti territoriali riserva alle quote accantonate e vincolate del risultato d’amministrazione (cfr. art. 187, e seguenti, del d.lgs. n. 267/2000 e art. 42 d.lgs. n. 118/2011).</w:t>
      </w:r>
      <w:r w:rsidR="0073496E">
        <w:rPr>
          <w:rFonts w:ascii="Times New Roman" w:hAnsi="Times New Roman" w:cs="Times New Roman"/>
          <w:sz w:val="24"/>
          <w:szCs w:val="24"/>
        </w:rPr>
        <w:t xml:space="preserve"> Il legislatore è intervenuto sul punto, </w:t>
      </w:r>
      <w:r w:rsidR="007269D2">
        <w:rPr>
          <w:rFonts w:ascii="Times New Roman" w:hAnsi="Times New Roman" w:cs="Times New Roman"/>
          <w:sz w:val="24"/>
          <w:szCs w:val="24"/>
        </w:rPr>
        <w:t xml:space="preserve">disciplinando all’art. 1, commi </w:t>
      </w:r>
      <w:r w:rsidR="00DB1CD6">
        <w:rPr>
          <w:rFonts w:ascii="Times New Roman" w:hAnsi="Times New Roman" w:cs="Times New Roman"/>
          <w:sz w:val="24"/>
          <w:szCs w:val="24"/>
        </w:rPr>
        <w:t>897 e seguenti, della legge n. 145/2018 presupposti e limiti per l’applicazione, da parte di enti territoriali in disavanzo complessivo di amministrazione, di quote vincolate e accantonate del risultato.</w:t>
      </w:r>
      <w:r w:rsidRPr="00F65B2D">
        <w:rPr>
          <w:rFonts w:ascii="Times New Roman" w:hAnsi="Times New Roman" w:cs="Times New Roman"/>
          <w:sz w:val="24"/>
          <w:szCs w:val="24"/>
        </w:rPr>
        <w:t xml:space="preserve"> </w:t>
      </w:r>
    </w:p>
  </w:footnote>
  <w:footnote w:id="69">
    <w:p w14:paraId="2F5C112B" w14:textId="7777777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w:t>
      </w:r>
      <w:r w:rsidRPr="00F65B2D">
        <w:rPr>
          <w:rFonts w:ascii="Times New Roman" w:hAnsi="Times New Roman" w:cs="Times New Roman"/>
          <w:bCs/>
          <w:sz w:val="24"/>
          <w:szCs w:val="24"/>
        </w:rPr>
        <w:t>C. conti, sezione delle autonomie, deliberazioni n. 4/2015/INPR e n. 32/2015/INPR.</w:t>
      </w:r>
    </w:p>
  </w:footnote>
  <w:footnote w:id="70">
    <w:p w14:paraId="6A29D946" w14:textId="14FE95D4"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solo per fare alcuni esempi, Corte conti, SRC Lombardia, deliberazioni n. 255/2017/PRSP, n. 289/2017/PRSP, n. 311/2017/PRSP, n. 333/2017/PRSP, n. 356/2017/PRSP e n. 153/2018/PRSP.</w:t>
      </w:r>
    </w:p>
  </w:footnote>
  <w:footnote w:id="71">
    <w:p w14:paraId="10AA80E0" w14:textId="77777777" w:rsidR="009C29FD" w:rsidRPr="00F65B2D" w:rsidRDefault="009C29FD" w:rsidP="00F65B2D">
      <w:pPr>
        <w:pStyle w:val="Testonotaapidipagina"/>
        <w:jc w:val="both"/>
        <w:rPr>
          <w:rFonts w:ascii="Times New Roman" w:hAnsi="Times New Roman" w:cs="Times New Roman"/>
          <w:bCs/>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w:t>
      </w:r>
      <w:r w:rsidRPr="00F65B2D">
        <w:rPr>
          <w:rFonts w:ascii="Times New Roman" w:hAnsi="Times New Roman" w:cs="Times New Roman"/>
          <w:bCs/>
          <w:sz w:val="24"/>
          <w:szCs w:val="24"/>
        </w:rPr>
        <w:t>Per il coerente utilizzo del c.d. metodo semplificato, si richiama anche il referto contenente “</w:t>
      </w:r>
      <w:r w:rsidRPr="00F65B2D">
        <w:rPr>
          <w:rFonts w:ascii="Times New Roman" w:hAnsi="Times New Roman" w:cs="Times New Roman"/>
          <w:bCs/>
          <w:i/>
          <w:sz w:val="24"/>
          <w:szCs w:val="24"/>
        </w:rPr>
        <w:t>Prime analisi sugli esiti del riaccertamento straordinario dei residui nei Comuni</w:t>
      </w:r>
      <w:r w:rsidRPr="00F65B2D">
        <w:rPr>
          <w:rFonts w:ascii="Times New Roman" w:hAnsi="Times New Roman" w:cs="Times New Roman"/>
          <w:bCs/>
          <w:sz w:val="24"/>
          <w:szCs w:val="24"/>
        </w:rPr>
        <w:t>”, approvato dalla Sezione delle autonomie con deliberazione n. 31/2016/FRG.</w:t>
      </w:r>
    </w:p>
  </w:footnote>
  <w:footnote w:id="72">
    <w:p w14:paraId="46E5BBAD" w14:textId="553E3EC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rinvia, per un esempio, a SRC Liguria, deliberazione n. 21/2016.</w:t>
      </w:r>
    </w:p>
  </w:footnote>
  <w:footnote w:id="73">
    <w:p w14:paraId="6FFCD697" w14:textId="02F30EA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base al quale le previsioni del bilancio devono essere state predisposte tenendo conto che “</w:t>
      </w:r>
      <w:r w:rsidRPr="00F65B2D">
        <w:rPr>
          <w:rFonts w:ascii="Times New Roman" w:hAnsi="Times New Roman" w:cs="Times New Roman"/>
          <w:i/>
          <w:sz w:val="24"/>
          <w:szCs w:val="24"/>
        </w:rPr>
        <w:t>le obbligazioni giuridicamente perfezionate attive e passive, che danno luogo a entrate e spese per l’ente, devono essere registrate nelle scritture contabili quando l’obbligazione è perfezionata, con imputazione all’esercizio in cui l’obbligazione viene a scadenza</w:t>
      </w:r>
      <w:r w:rsidRPr="00F65B2D">
        <w:rPr>
          <w:rFonts w:ascii="Times New Roman" w:hAnsi="Times New Roman" w:cs="Times New Roman"/>
          <w:sz w:val="24"/>
          <w:szCs w:val="24"/>
        </w:rPr>
        <w:t>”.</w:t>
      </w:r>
    </w:p>
  </w:footnote>
  <w:footnote w:id="74">
    <w:p w14:paraId="03137C88" w14:textId="6C7F52B4"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194 d.lgs. n. 267/2000, per gli enti locali, e art. 73 d.lgs. n. 118/2011, per le regioni.</w:t>
      </w:r>
    </w:p>
  </w:footnote>
  <w:footnote w:id="75">
    <w:p w14:paraId="383D8DD1" w14:textId="730C3BF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procedimento del controllo degli equilibri finanziari del bilancio deve essere, poi, inserito organicamente nel ciclo degli strumenti di programmazione dell’ente territoriale, in applicazione del principio contabile della programmazione (punto 4.2 del principio).</w:t>
      </w:r>
    </w:p>
  </w:footnote>
  <w:footnote w:id="76">
    <w:p w14:paraId="013463CB" w14:textId="7693A99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sul punto, Corte dei conti, Sezione delle Autonomie, deliberazione n. 14/2013/QMIG.</w:t>
      </w:r>
    </w:p>
  </w:footnote>
  <w:footnote w:id="77">
    <w:p w14:paraId="4FD8A33F" w14:textId="5E572EA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questa sede è sufficiente rimarcare come la riscossione di anticipazioni di liquidità (effettuate Cassa Depositi e Prestiti, Ministero dell’interno o altri), funzionali al pagamento di debiti </w:t>
      </w:r>
      <w:r w:rsidR="003455B8">
        <w:rPr>
          <w:rFonts w:ascii="Times New Roman" w:hAnsi="Times New Roman" w:cs="Times New Roman"/>
          <w:sz w:val="24"/>
          <w:szCs w:val="24"/>
        </w:rPr>
        <w:t>scaduti, liquidi ed esigibili</w:t>
      </w:r>
      <w:r w:rsidRPr="00F65B2D">
        <w:rPr>
          <w:rFonts w:ascii="Times New Roman" w:hAnsi="Times New Roman" w:cs="Times New Roman"/>
          <w:sz w:val="24"/>
          <w:szCs w:val="24"/>
        </w:rPr>
        <w:t xml:space="preserve"> deriva dalla mancata pregressa capacità di incasso, da parte dell’ente territoriale, di entrate accertate, che, a fine esercizio, in un sistema di contabilità finanziaria, divengono residui attivi. Poiché, grazie alle anticipazioni, l’ente riesce a pagare i residui passivi, il risultato d’amministrazione ne trae diretto beneficio, riducendosi la parte passiva, mentre cassa e residui attivi rimangono inalterati, ampliandosi, di conseguenza (a parità di quote da accantonare, vincolare o destinare, cfr. art. 187 d.lgs. n. 267/2000 e art. 42 d.lgs. n. 118/2011), l’importo dell’avanzo libero, che è possibile utilizzare in esercizi successivi (cfr. art. 187, comma 2, d.lgs. n. 267/2000 e art. 42, comma 6, d.lgs. n. 118/2011). Tuttavia, il </w:t>
      </w:r>
      <w:proofErr w:type="gramStart"/>
      <w:r w:rsidRPr="00F65B2D">
        <w:rPr>
          <w:rFonts w:ascii="Times New Roman" w:hAnsi="Times New Roman" w:cs="Times New Roman"/>
          <w:sz w:val="24"/>
          <w:szCs w:val="24"/>
        </w:rPr>
        <w:t>predetto</w:t>
      </w:r>
      <w:proofErr w:type="gramEnd"/>
      <w:r w:rsidRPr="00F65B2D">
        <w:rPr>
          <w:rFonts w:ascii="Times New Roman" w:hAnsi="Times New Roman" w:cs="Times New Roman"/>
          <w:sz w:val="24"/>
          <w:szCs w:val="24"/>
        </w:rPr>
        <w:t xml:space="preserve"> avanzo sarebbe fondato sui medesimi residui attivi, di dubbia o difficile riscossione, che avevano portato l’ente a richiedere l’anticipazione di liquidità per provvedere al pagamento dei debiti pregressi (residui passivi). Pertanto, al fine di “sterilizzare” tale, solo fittizio, incremento del risultato d’amministrazione, la magistratura contabile (Corte dei conti, Sezione delle autonomie, deliberazioni n. 19/2014/QMIG e n. 33/2015/QMIG), seguita dalla Corte costituzionale (sentenze n. 181/2015 e n. 89</w:t>
      </w:r>
      <w:r w:rsidR="003455B8">
        <w:rPr>
          <w:rFonts w:ascii="Times New Roman" w:hAnsi="Times New Roman" w:cs="Times New Roman"/>
          <w:sz w:val="24"/>
          <w:szCs w:val="24"/>
        </w:rPr>
        <w:t>/</w:t>
      </w:r>
      <w:r w:rsidRPr="00F65B2D">
        <w:rPr>
          <w:rFonts w:ascii="Times New Roman" w:hAnsi="Times New Roman" w:cs="Times New Roman"/>
          <w:sz w:val="24"/>
          <w:szCs w:val="24"/>
        </w:rPr>
        <w:t xml:space="preserve">2017), e poi dallo stesso legislatore (art. 2, comma 6, del citato d.l. n. 78/2015), hanno affermato la necessità di accantonare un importo pari all’anticipazione ricevuta, in modo da riportare l’ammontare dell’avanzo libero alla situazione precedente alla riscossione delle anticipazioni di liquidità (impedendo un improprio effetto espansivo della capacitò di copertura di future spese). </w:t>
      </w:r>
    </w:p>
  </w:footnote>
  <w:footnote w:id="78">
    <w:p w14:paraId="75B99B95" w14:textId="1387F21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Trattasi, infatti, come espressamente indicato dal legislatore e, in seguito, confermato anche dalla </w:t>
      </w:r>
      <w:proofErr w:type="gramStart"/>
      <w:r w:rsidRPr="00F65B2D">
        <w:rPr>
          <w:rFonts w:ascii="Times New Roman" w:hAnsi="Times New Roman" w:cs="Times New Roman"/>
          <w:sz w:val="24"/>
          <w:szCs w:val="24"/>
        </w:rPr>
        <w:t>Corte Costituzionale</w:t>
      </w:r>
      <w:proofErr w:type="gramEnd"/>
      <w:r w:rsidRPr="00F65B2D">
        <w:rPr>
          <w:rFonts w:ascii="Times New Roman" w:hAnsi="Times New Roman" w:cs="Times New Roman"/>
          <w:sz w:val="24"/>
          <w:szCs w:val="24"/>
        </w:rPr>
        <w:t>, sentenza n. 181/2015, dell’introduzione di una specifica forma di “anticipazione di liquidità”, avente una peculiare modalità di rimborso estesa su un arco temporale massimo di 30 anni, anziché risolversi nell’ambito dello stesso esercizio finanziario, come per le comuni anticipazioni di cassa. Con tale operazione straordinaria si consente agli enti territoriali di ricostituire immediatamente le risorse di cassa necessarie ad onorare debiti pregressi, correnti o in conto capitale, per i quali le coperture finanziarie di competenza, presenti nei bilanci, non si sono tradotte in cassa (il debito verso gli originari creditori si converte in un onere pluriennale verso Cassa depositi e prestiti o il Ministero dell’interno, maggiormente sostenibile in quanto la restituzione delle somme anticipate viene diluita in un ampio arco temporale).</w:t>
      </w:r>
    </w:p>
  </w:footnote>
  <w:footnote w:id="79">
    <w:p w14:paraId="31DB86F6" w14:textId="256D226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 fare un semplice esempio numerico, in presenza di un saldo di amministrazione pari a 100 (frutto di cassa per 50, di residui attivi per 100 e passivi per 50), la possibilità di considerare l’importo del fondo anticipazioni di liquidità (si supponga, pari a 50) ai fini del FCDE (si supponga, pari alla medesima cifra di 50), come consentito dall’art. 6, comma 2, del d.l. n. 78/2015, conduce ad un avanzo libero (in ipotesi di assenza di altri vincoli) pari a 50 (applicabile a copertura di spese in esercizi successivi, cfr. art. 187 d.lgs. n. 267/2000 e art. 42 d.lgs. n. 118/2011). Invece, in assenza della ridetta facoltà, l’avanzo d’amministrazione libero sarebbe pari a zero.  </w:t>
      </w:r>
    </w:p>
  </w:footnote>
  <w:footnote w:id="80">
    <w:p w14:paraId="627A7D8A" w14:textId="0D042D7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altresì, Corte conti, SRC Campania, deliberazione n. 1/2017/PRSP.</w:t>
      </w:r>
    </w:p>
  </w:footnote>
  <w:footnote w:id="81">
    <w:p w14:paraId="03824205" w14:textId="6636900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per esempio, Corte conti, SRC Umbria, deliberazione n. 85/2016/PRSE.</w:t>
      </w:r>
    </w:p>
  </w:footnote>
  <w:footnote w:id="82">
    <w:p w14:paraId="102F0A73" w14:textId="26881E5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termini, C. conti, SS.RR. spec. </w:t>
      </w:r>
      <w:proofErr w:type="spellStart"/>
      <w:r w:rsidRPr="00F65B2D">
        <w:rPr>
          <w:rFonts w:ascii="Times New Roman" w:hAnsi="Times New Roman" w:cs="Times New Roman"/>
          <w:sz w:val="24"/>
          <w:szCs w:val="24"/>
        </w:rPr>
        <w:t>comp</w:t>
      </w:r>
      <w:proofErr w:type="spellEnd"/>
      <w:r w:rsidRPr="00F65B2D">
        <w:rPr>
          <w:rFonts w:ascii="Times New Roman" w:hAnsi="Times New Roman" w:cs="Times New Roman"/>
          <w:sz w:val="24"/>
          <w:szCs w:val="24"/>
        </w:rPr>
        <w:t>., sentenza n. 21/2017/EL.</w:t>
      </w:r>
    </w:p>
  </w:footnote>
  <w:footnote w:id="83">
    <w:p w14:paraId="77B0A628" w14:textId="6612562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C. conti, Sezione delle autonomie, deliberazioni n. 19/2014/QMIG e n. 33/2015/QMIG.</w:t>
      </w:r>
    </w:p>
  </w:footnote>
  <w:footnote w:id="84">
    <w:p w14:paraId="4EE33834" w14:textId="1FD0540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L’allocazione contabile di un apposito fondo per anticipazioni di liquidità nella parte accantonata del risultato di amministrazione è stata, poi, confermata anche dal DM Economia 4 agosto 2016.</w:t>
      </w:r>
    </w:p>
  </w:footnote>
  <w:footnote w:id="85">
    <w:p w14:paraId="7B1314A1" w14:textId="59ED02A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termini, la deliberazione della Sezione delle autonomie n. 33/2015/QMIG.</w:t>
      </w:r>
    </w:p>
  </w:footnote>
  <w:footnote w:id="86">
    <w:p w14:paraId="303E35AA" w14:textId="4E0114F6" w:rsidR="004A5001" w:rsidRDefault="004A5001" w:rsidP="004A5001">
      <w:pPr>
        <w:pStyle w:val="Testonotaapidipagina"/>
        <w:jc w:val="both"/>
      </w:pPr>
      <w:r>
        <w:rPr>
          <w:rStyle w:val="Rimandonotaapidipagina"/>
        </w:rPr>
        <w:footnoteRef/>
      </w:r>
      <w:r>
        <w:t xml:space="preserve"> </w:t>
      </w:r>
      <w:r w:rsidRPr="001A7AE5">
        <w:rPr>
          <w:rFonts w:ascii="Times New Roman" w:hAnsi="Times New Roman" w:cs="Times New Roman"/>
          <w:sz w:val="24"/>
          <w:szCs w:val="24"/>
        </w:rPr>
        <w:t xml:space="preserve">In sostanza, </w:t>
      </w:r>
      <w:r w:rsidRPr="001A7AE5">
        <w:rPr>
          <w:rFonts w:ascii="Times New Roman" w:hAnsi="Times New Roman" w:cs="Times New Roman"/>
          <w:sz w:val="24"/>
          <w:szCs w:val="24"/>
          <w:u w:val="single"/>
        </w:rPr>
        <w:t>il rischio che il fondo anticipazione liquidità ed il fondo crediti di dubbia esigibilità tendono a prevenire è analogo, essendo ambedue fondati sulla necessità di dare copertura a residui attivi che, pur alimentando, con segno positivo, il risultato d’amministrazione, difficilmente si tradurranno in cassa</w:t>
      </w:r>
      <w:r w:rsidRPr="001A7AE5">
        <w:rPr>
          <w:rFonts w:ascii="Times New Roman" w:hAnsi="Times New Roman" w:cs="Times New Roman"/>
          <w:sz w:val="24"/>
          <w:szCs w:val="24"/>
        </w:rPr>
        <w:t>. Sommare, nella determinazione della quota da accantonare nel risultato d’amministrazione, ai fini della prevenzione di similare rischio, sia l’importo che discenderebbe per il FCDE, applicando le regole del Principio contabile applicato (Allegato 4/2 al d.lgs. n. 118/2011, paragrafo 3.3), che quello pari all’anticipazione di liquidità ricevuta (FAL), la cui necessità, per l’ente territoriale, è derivata dall’incapacità di riscossione dei medesimi residui attivi (che alimentano l’importo del FCDE), rischia, infatti, di comprimere, oltre il dovuto, la capacità di spesa dell’ente territoriale (che, per inciso, non è, comunque, libera, potendo l’avanzo essere applicato solo per finanziare le, specifiche, spese indicate nell’art. 187, comma 2, del TUEL e nell’art. 42, comma 6, del d.lgs. n. 118/2011).</w:t>
      </w:r>
      <w:r w:rsidRPr="004A5001">
        <w:rPr>
          <w:rFonts w:ascii="Times New Roman" w:hAnsi="Times New Roman" w:cs="Times New Roman"/>
          <w:sz w:val="22"/>
          <w:szCs w:val="22"/>
        </w:rPr>
        <w:t xml:space="preserve"> </w:t>
      </w:r>
    </w:p>
  </w:footnote>
  <w:footnote w:id="87">
    <w:p w14:paraId="285A63E2" w14:textId="614BD850"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Se il fondo crediti di dubbia esigibilità dovesse eliminare, integralmente, il rischio di mancata riscossione degli accertamenti o dei residui attivi dovrebbe, infatti, essere pari al loro ammontare in termini assoluti (misura di elisione che non è, invece, come già esposto, richiesta dal Principio contabile applicato, Allegato 4/2 al d.lgs. n. 118/2011), conducendo, nei fatti, all’impostazione di un bilancio di pura cassa (non di competenza e cassa). Il legislatore, </w:t>
      </w:r>
      <w:r w:rsidR="003A2E36">
        <w:rPr>
          <w:rFonts w:ascii="Times New Roman" w:hAnsi="Times New Roman" w:cs="Times New Roman"/>
          <w:sz w:val="24"/>
          <w:szCs w:val="24"/>
        </w:rPr>
        <w:t>invece</w:t>
      </w:r>
      <w:r w:rsidRPr="00F65B2D">
        <w:rPr>
          <w:rFonts w:ascii="Times New Roman" w:hAnsi="Times New Roman" w:cs="Times New Roman"/>
          <w:sz w:val="24"/>
          <w:szCs w:val="24"/>
        </w:rPr>
        <w:t>, in aderenza al sistema misto di contabilità, di competenza e cassa, previsto per gli enti territoriali, ha dettato, con scelta discrezionale di tipo politico (</w:t>
      </w:r>
      <w:r w:rsidR="003C527F">
        <w:rPr>
          <w:rFonts w:ascii="Times New Roman" w:hAnsi="Times New Roman" w:cs="Times New Roman"/>
          <w:sz w:val="24"/>
          <w:szCs w:val="24"/>
        </w:rPr>
        <w:t>a parere dello scrivente non irragionevolmente</w:t>
      </w:r>
      <w:r w:rsidRPr="00F65B2D">
        <w:rPr>
          <w:rFonts w:ascii="Times New Roman" w:hAnsi="Times New Roman" w:cs="Times New Roman"/>
          <w:sz w:val="24"/>
          <w:szCs w:val="24"/>
        </w:rPr>
        <w:t xml:space="preserve"> contrastante con la clausola di equilibrio dei bilanci pubblici, dettata dagli artt. 81, 97 e 119 della Costituzione), alcune regole tese ad accantonare, in sede di previsione e a rendiconto, un fondo crediti di dubbia esigibilità (secondo le </w:t>
      </w:r>
      <w:r w:rsidR="003C527F">
        <w:rPr>
          <w:rFonts w:ascii="Times New Roman" w:hAnsi="Times New Roman" w:cs="Times New Roman"/>
          <w:sz w:val="24"/>
          <w:szCs w:val="24"/>
        </w:rPr>
        <w:t>disposizioni,</w:t>
      </w:r>
      <w:r w:rsidRPr="00F65B2D">
        <w:rPr>
          <w:rFonts w:ascii="Times New Roman" w:hAnsi="Times New Roman" w:cs="Times New Roman"/>
          <w:sz w:val="24"/>
          <w:szCs w:val="24"/>
        </w:rPr>
        <w:t xml:space="preserve"> anche di graduale applicazione, valevoli solo dal 2015, contenute nell’Allegato 4/2 al d.lgs. n. 118/2011). </w:t>
      </w:r>
      <w:r w:rsidR="003C527F">
        <w:rPr>
          <w:rFonts w:ascii="Times New Roman" w:hAnsi="Times New Roman" w:cs="Times New Roman"/>
          <w:sz w:val="24"/>
          <w:szCs w:val="24"/>
        </w:rPr>
        <w:t>Queste stesse r</w:t>
      </w:r>
      <w:r w:rsidRPr="00F65B2D">
        <w:rPr>
          <w:rFonts w:ascii="Times New Roman" w:hAnsi="Times New Roman" w:cs="Times New Roman"/>
          <w:sz w:val="24"/>
          <w:szCs w:val="24"/>
        </w:rPr>
        <w:t xml:space="preserve">egole, </w:t>
      </w:r>
      <w:r w:rsidR="003C527F">
        <w:rPr>
          <w:rFonts w:ascii="Times New Roman" w:hAnsi="Times New Roman" w:cs="Times New Roman"/>
          <w:sz w:val="24"/>
          <w:szCs w:val="24"/>
        </w:rPr>
        <w:t>peraltro</w:t>
      </w:r>
      <w:r w:rsidRPr="00F65B2D">
        <w:rPr>
          <w:rFonts w:ascii="Times New Roman" w:hAnsi="Times New Roman" w:cs="Times New Roman"/>
          <w:sz w:val="24"/>
          <w:szCs w:val="24"/>
        </w:rPr>
        <w:t>, per come in concreto articolate, non eliminano il rischio di copertura delle spese solo per competenza, e non per cassa, essendo fondate su un procedimento di calcolo statistico, che, alla prova dei fatti</w:t>
      </w:r>
      <w:r w:rsidR="00C62821">
        <w:rPr>
          <w:rFonts w:ascii="Times New Roman" w:hAnsi="Times New Roman" w:cs="Times New Roman"/>
          <w:sz w:val="24"/>
          <w:szCs w:val="24"/>
        </w:rPr>
        <w:t>,</w:t>
      </w:r>
      <w:r w:rsidRPr="00F65B2D">
        <w:rPr>
          <w:rFonts w:ascii="Times New Roman" w:hAnsi="Times New Roman" w:cs="Times New Roman"/>
          <w:sz w:val="24"/>
          <w:szCs w:val="24"/>
        </w:rPr>
        <w:t xml:space="preserve"> potrebbe rivelarsi errato (in eccesso o in difetto). Il massimo della prudenza, imporrebbe, infatti, la copertura di spese solo mediante entrate incassate, opzione, che, tuttavia, muterebbe il bilancio degli enti territoriali da “finanziario di competenza” a “finanziario di cassa”.    </w:t>
      </w:r>
    </w:p>
  </w:footnote>
  <w:footnote w:id="88">
    <w:p w14:paraId="7C08A978" w14:textId="1F48D4FC" w:rsidR="000E7B6D" w:rsidRDefault="000E7B6D" w:rsidP="00B43310">
      <w:pPr>
        <w:pStyle w:val="Testonotaapidipagina"/>
        <w:jc w:val="both"/>
      </w:pPr>
      <w:r>
        <w:rPr>
          <w:rStyle w:val="Rimandonotaapidipagina"/>
        </w:rPr>
        <w:footnoteRef/>
      </w:r>
      <w:r w:rsidRPr="00B43310">
        <w:rPr>
          <w:rFonts w:ascii="Times New Roman" w:hAnsi="Times New Roman" w:cs="Times New Roman"/>
          <w:sz w:val="24"/>
          <w:szCs w:val="24"/>
        </w:rPr>
        <w:t xml:space="preserve"> Si rinvia alle citate sentenze n. 26/2016/EL e n. 21/2017/EL.</w:t>
      </w:r>
    </w:p>
  </w:footnote>
  <w:footnote w:id="89">
    <w:p w14:paraId="72A31C00" w14:textId="1EBE93D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tale prospettiva, i questionari approvati annualmente dalla Sezione delle Autonomie, ai fini dell’esercizio del c.d. controllo di legalità finanziaria sugli enti locali, ai sensi dell’art. 148-bis, del d.lgs. 267/2000, si soffermano in maniera puntuale su tali aspetti (cfr., da ultimo, deliberazione n. 8/2018</w:t>
      </w:r>
      <w:r w:rsidRPr="00F65B2D">
        <w:rPr>
          <w:rFonts w:ascii="Times New Roman" w:hAnsi="Times New Roman" w:cs="Times New Roman"/>
          <w:kern w:val="28"/>
          <w:sz w:val="24"/>
          <w:szCs w:val="24"/>
        </w:rPr>
        <w:t>/INPR</w:t>
      </w:r>
      <w:r w:rsidRPr="00F65B2D">
        <w:rPr>
          <w:rFonts w:ascii="Times New Roman" w:hAnsi="Times New Roman" w:cs="Times New Roman"/>
          <w:sz w:val="24"/>
          <w:szCs w:val="24"/>
        </w:rPr>
        <w:t>) al fine di non vanificare gli obiettivi legislativi di salvaguardia degli equilibri.</w:t>
      </w:r>
    </w:p>
  </w:footnote>
  <w:footnote w:id="90">
    <w:p w14:paraId="7DEFFD7A" w14:textId="0128B53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fondo di riserva per spese obbligatorie e impreviste, disciplinato dall’art. 166 TUEL (non inferiore allo 0,30% e non superiore al 2% del totale delle spese correnti di competenza inizialmente previste in bilancio) è uno strumento destinato a garantire il principio della flessibilità di bilancio, che necessita, all'interno dei documenti di previsione, di risorse finalizzate a fronteggiare effetti derivanti da circostanze imprevedibili che si possono manifestare nel corso dell'esercizio. Si tratta, in questo caso, di un fondo di mera competenza, non destinato a confluire, come altri, nel risultato di amministrazione (cfr., da ultimo, Circolare MEF n. 20/2018). Analoga funzione ha, nell’ordinamento contabile delle regioni, il fondo di riserva di cui all’art. 48 del d.lgs. n. 118/2011.</w:t>
      </w:r>
    </w:p>
  </w:footnote>
  <w:footnote w:id="91">
    <w:p w14:paraId="7ADC224F" w14:textId="7777777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paragrafo 5.2 del citato Allegato 4/2 disciplina anche il caso dell’accantonamento a fondi derivante dal conferimento di incarichi ad avvocati esterni.</w:t>
      </w:r>
    </w:p>
  </w:footnote>
  <w:footnote w:id="92">
    <w:p w14:paraId="4725F260" w14:textId="527B3FB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Il Principio contabile applicato (Allegato 4/2 al d.lgs. n. 118/2011, paragrafo 5.2. lett. h) ha consentito, in occasione della prima applicazione del nuovo ordinamento contabile, dopo aver operato la ricognizione del contenzioso formatosi negli esercizi precedenti, se di importo particolarmente rilevante, di ripartire l’accantonamento, in quote uguali, tra gli esercizi successivi considerati nel bilancio di previsione (fermo restando l’obbligo di accantonare, nel primo esercizio, il fondo riguardante il contenzioso formatosi nel corso dell’esercizio precedente).</w:t>
      </w:r>
    </w:p>
  </w:footnote>
  <w:footnote w:id="93">
    <w:p w14:paraId="7C6B655A" w14:textId="5ACE34D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nota integrativa, documento esplicativo da allegare obbligatoriamente al bilancio di previsione e al rendiconto (art. 11, comma 3, lett. g), e comma 5, d.lgs. 118/2011) deve indicare i criteri adottati per pervenire alla quantificazione dell’accantonamento al fondo rischi, e fornire valutazioni sulla gestione complessiva del contenzioso.</w:t>
      </w:r>
    </w:p>
  </w:footnote>
  <w:footnote w:id="94">
    <w:p w14:paraId="1BD950A1" w14:textId="173DA58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maniera identica si esprime l’art. 46, comma 3, del d.lgs. n. 118/2011, per le regioni.</w:t>
      </w:r>
    </w:p>
  </w:footnote>
  <w:footnote w:id="95">
    <w:p w14:paraId="59D3F775" w14:textId="128A340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w:t>
      </w:r>
      <w:r w:rsidRPr="00FB60EA">
        <w:rPr>
          <w:rFonts w:ascii="Times New Roman" w:hAnsi="Times New Roman" w:cs="Times New Roman"/>
          <w:i/>
          <w:iCs/>
          <w:sz w:val="24"/>
          <w:szCs w:val="24"/>
        </w:rPr>
        <w:t>Nel caso in cui l’ente, a seguito di contenzioso in cui ha significative probabilità di soccombere, o di sentenza non definitiva e non esecutiva, sia condannato al pagamento di spese, in attesa degli esiti del giudizio, si è in presenza di una obbligazione passiva condizionata al verificarsi di un evento (l’esito del giudizio o del ricorso), con riferimento al quale non è possibile impegnare alcuna spesa. In tale situazione l’ente è tenuto ad accantonare le risorse necessarie per il pagamento degli oneri previsti dalla sentenza, stanziando nell’esercizio le relative spese che, a fine esercizio, incrementeranno il risultato di amministrazione che dovrà essere vincolato alla copertura delle eventuali spese derivanti dalla sentenza definitiva. A tal fine si ritiene necessaria la costituzione di un apposito fondo rischi. Gli stanziamenti riguardanti il fondo rischi spese legali sono destinati ad essere incrementati in occasione dell’approvazione del bilancio di previsione successivo, per tenere conto del nuovo contenzioso formatosi alla data dell’approvazione del bilancio</w:t>
      </w:r>
      <w:r w:rsidRPr="00F65B2D">
        <w:rPr>
          <w:rFonts w:ascii="Times New Roman" w:hAnsi="Times New Roman" w:cs="Times New Roman"/>
          <w:sz w:val="24"/>
          <w:szCs w:val="24"/>
        </w:rPr>
        <w:t>”.</w:t>
      </w:r>
    </w:p>
  </w:footnote>
  <w:footnote w:id="96">
    <w:p w14:paraId="4E9D1B11" w14:textId="5C2570F4"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Corte dei conti, SRC Liguria, deliberazione n. 103/2018/PRSP.</w:t>
      </w:r>
    </w:p>
  </w:footnote>
  <w:footnote w:id="97">
    <w:p w14:paraId="1DF5E020" w14:textId="6272E675"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Mentre, nella parallela contabilità economico-patrimoniale, che gli enti territoriali devono tenere in funzione meramente conoscitiva, l’avvenuta concessione di una garanzia personale deve essere indicata nei c.d. “conti d’ordine”, in calce allo stato patrimoniale.</w:t>
      </w:r>
    </w:p>
  </w:footnote>
  <w:footnote w:id="98">
    <w:p w14:paraId="08D317CD" w14:textId="236346E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E, a fine esercizio, confluendo il </w:t>
      </w:r>
      <w:proofErr w:type="gramStart"/>
      <w:r w:rsidRPr="00F65B2D">
        <w:rPr>
          <w:rFonts w:ascii="Times New Roman" w:hAnsi="Times New Roman" w:cs="Times New Roman"/>
          <w:sz w:val="24"/>
          <w:szCs w:val="24"/>
        </w:rPr>
        <w:t>predetto</w:t>
      </w:r>
      <w:proofErr w:type="gramEnd"/>
      <w:r w:rsidRPr="00F65B2D">
        <w:rPr>
          <w:rFonts w:ascii="Times New Roman" w:hAnsi="Times New Roman" w:cs="Times New Roman"/>
          <w:sz w:val="24"/>
          <w:szCs w:val="24"/>
        </w:rPr>
        <w:t xml:space="preserve"> fondo nella quota accantonata del risultato d’amministrazione, diminuisce l’ammontare di eventuale avanzo libero, da poter applicare a copertura di spese di esercizi successivi. Inoltre, ove diventi causa di emersione di un disavanzo, impone l’adozione di tempestivi </w:t>
      </w:r>
      <w:proofErr w:type="gramStart"/>
      <w:r w:rsidRPr="00F65B2D">
        <w:rPr>
          <w:rFonts w:ascii="Times New Roman" w:hAnsi="Times New Roman" w:cs="Times New Roman"/>
          <w:sz w:val="24"/>
          <w:szCs w:val="24"/>
        </w:rPr>
        <w:t>ed</w:t>
      </w:r>
      <w:proofErr w:type="gramEnd"/>
      <w:r w:rsidRPr="00F65B2D">
        <w:rPr>
          <w:rFonts w:ascii="Times New Roman" w:hAnsi="Times New Roman" w:cs="Times New Roman"/>
          <w:sz w:val="24"/>
          <w:szCs w:val="24"/>
        </w:rPr>
        <w:t xml:space="preserve"> adeguati provvedimenti di ripiano (cfr. art. 187 e 188 TUEL, per gli enti locali; art. 42 d.lgs. n. 118/2011, per le regioni). </w:t>
      </w:r>
    </w:p>
  </w:footnote>
  <w:footnote w:id="99">
    <w:p w14:paraId="2CF1128B" w14:textId="2B6E8A7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27, comma 2, del d.lgs. n. 175/2016.</w:t>
      </w:r>
    </w:p>
  </w:footnote>
  <w:footnote w:id="100">
    <w:p w14:paraId="0AEAD0FA" w14:textId="34BF42A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Sul punto, la Corte dei conti, SRC Liguria, deliberazione n. 127/2018/PAR ha precisato che l’obbligo di effettuare l’accantonamento predetto è imposto a tutte le “</w:t>
      </w:r>
      <w:r w:rsidRPr="00AC5331">
        <w:rPr>
          <w:rFonts w:ascii="Times New Roman" w:hAnsi="Times New Roman" w:cs="Times New Roman"/>
          <w:i/>
          <w:iCs/>
          <w:sz w:val="24"/>
          <w:szCs w:val="24"/>
        </w:rPr>
        <w:t>amministrazioni pubbliche locali</w:t>
      </w:r>
      <w:r w:rsidRPr="00F65B2D">
        <w:rPr>
          <w:rFonts w:ascii="Times New Roman" w:hAnsi="Times New Roman" w:cs="Times New Roman"/>
          <w:sz w:val="24"/>
          <w:szCs w:val="24"/>
        </w:rPr>
        <w:t>” inclu</w:t>
      </w:r>
      <w:r w:rsidR="00AC5331">
        <w:rPr>
          <w:rFonts w:ascii="Times New Roman" w:hAnsi="Times New Roman" w:cs="Times New Roman"/>
          <w:sz w:val="24"/>
          <w:szCs w:val="24"/>
        </w:rPr>
        <w:t>s</w:t>
      </w:r>
      <w:r w:rsidRPr="00F65B2D">
        <w:rPr>
          <w:rFonts w:ascii="Times New Roman" w:hAnsi="Times New Roman" w:cs="Times New Roman"/>
          <w:sz w:val="24"/>
          <w:szCs w:val="24"/>
        </w:rPr>
        <w:t xml:space="preserve">e nel c.d. elenco ISTAT, ai sensi dell’art. 1, comma 3, della legge n. 196/2009, a prescindere dall’eventuale </w:t>
      </w:r>
      <w:r w:rsidR="00AC5331">
        <w:rPr>
          <w:rFonts w:ascii="Times New Roman" w:hAnsi="Times New Roman" w:cs="Times New Roman"/>
          <w:sz w:val="24"/>
          <w:szCs w:val="24"/>
        </w:rPr>
        <w:t>inserimento</w:t>
      </w:r>
      <w:r w:rsidRPr="00F65B2D">
        <w:rPr>
          <w:rFonts w:ascii="Times New Roman" w:hAnsi="Times New Roman" w:cs="Times New Roman"/>
          <w:sz w:val="24"/>
          <w:szCs w:val="24"/>
        </w:rPr>
        <w:t xml:space="preserve">, o meno, nel medesimo elenco della società che ha registrato la perdita d’esercizio. Il fondo in parola, infatti, ha la funzione sia di garantire l’eventuale copertura delle perdite </w:t>
      </w:r>
      <w:r w:rsidR="00D958A0">
        <w:rPr>
          <w:rFonts w:ascii="Times New Roman" w:hAnsi="Times New Roman" w:cs="Times New Roman"/>
          <w:sz w:val="24"/>
          <w:szCs w:val="24"/>
        </w:rPr>
        <w:t xml:space="preserve">registrate </w:t>
      </w:r>
      <w:r w:rsidRPr="00F65B2D">
        <w:rPr>
          <w:rFonts w:ascii="Times New Roman" w:hAnsi="Times New Roman" w:cs="Times New Roman"/>
          <w:sz w:val="24"/>
          <w:szCs w:val="24"/>
        </w:rPr>
        <w:t xml:space="preserve">(purché sussista uno specifico interesse dell’ente socio e non </w:t>
      </w:r>
      <w:r w:rsidR="00D958A0">
        <w:rPr>
          <w:rFonts w:ascii="Times New Roman" w:hAnsi="Times New Roman" w:cs="Times New Roman"/>
          <w:sz w:val="24"/>
          <w:szCs w:val="24"/>
        </w:rPr>
        <w:t>ricorrano</w:t>
      </w:r>
      <w:r w:rsidRPr="00F65B2D">
        <w:rPr>
          <w:rFonts w:ascii="Times New Roman" w:hAnsi="Times New Roman" w:cs="Times New Roman"/>
          <w:sz w:val="24"/>
          <w:szCs w:val="24"/>
        </w:rPr>
        <w:t xml:space="preserve"> le preclusioni poste dall’art. 14, comma 5, del d.lgs. n. 175/2016) che, indirettamente, e soprattutto, di incentivare la dismissione delle società pubbliche in protratta perdita d’esercizio. L’obbligo di accantonamento (e, in particolare, il suo accumulo nel corso del tempo) irrigidisce, progressivamente, la capacità di spesa dell’ente socio (che deve dare copertura all’accantonamento con corrispondenti entrate).    </w:t>
      </w:r>
    </w:p>
  </w:footnote>
  <w:footnote w:id="101">
    <w:p w14:paraId="0EC37BB9" w14:textId="1588567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 citata deliberazione della Sezione regionale di controllo per la Liguria, n. 127/2018/PAR, </w:t>
      </w:r>
      <w:r w:rsidR="00D958A0">
        <w:rPr>
          <w:rFonts w:ascii="Times New Roman" w:hAnsi="Times New Roman" w:cs="Times New Roman"/>
          <w:sz w:val="24"/>
          <w:szCs w:val="24"/>
        </w:rPr>
        <w:t>nell’</w:t>
      </w:r>
      <w:r w:rsidRPr="00F65B2D">
        <w:rPr>
          <w:rFonts w:ascii="Times New Roman" w:hAnsi="Times New Roman" w:cs="Times New Roman"/>
          <w:sz w:val="24"/>
          <w:szCs w:val="24"/>
        </w:rPr>
        <w:t>affrontare varie problematiche connesse all’interpretazione della norma in esame, ha ritenuto che l’ente socio debba effettuare il predetto accantonamento “</w:t>
      </w:r>
      <w:r w:rsidRPr="00F65B2D">
        <w:rPr>
          <w:rFonts w:ascii="Times New Roman" w:hAnsi="Times New Roman" w:cs="Times New Roman"/>
          <w:i/>
          <w:sz w:val="24"/>
          <w:szCs w:val="24"/>
        </w:rPr>
        <w:t>nell’anno successivo</w:t>
      </w:r>
      <w:r w:rsidRPr="00F65B2D">
        <w:rPr>
          <w:rFonts w:ascii="Times New Roman" w:hAnsi="Times New Roman" w:cs="Times New Roman"/>
          <w:sz w:val="24"/>
          <w:szCs w:val="24"/>
        </w:rPr>
        <w:t>” a quello di emersione della perdita, certificata dall’approvazione del bilancio d’esercizio della società partecipata (per fare un esempio, l’accantonamento per le perdite dell’esercizio 2018, certificate con il bilancio approvato entro il mese di aprile 2019, va effettuat</w:t>
      </w:r>
      <w:r w:rsidR="00CD71AC">
        <w:rPr>
          <w:rFonts w:ascii="Times New Roman" w:hAnsi="Times New Roman" w:cs="Times New Roman"/>
          <w:sz w:val="24"/>
          <w:szCs w:val="24"/>
        </w:rPr>
        <w:t>o</w:t>
      </w:r>
      <w:r w:rsidRPr="00F65B2D">
        <w:rPr>
          <w:rFonts w:ascii="Times New Roman" w:hAnsi="Times New Roman" w:cs="Times New Roman"/>
          <w:sz w:val="24"/>
          <w:szCs w:val="24"/>
        </w:rPr>
        <w:t xml:space="preserve"> in occasione dell’approvazione del bilancio di previsione dell’ente territoriale per l’anno 2020). Va precisato che, in occasione del giudizio di parifica di rendiconti regionali, altre Sezioni (cfr., per esempio, SRC Lombardia, deliberazioni n. 211/2018/PARI e n. 200/2017/PARI; Sezioni riunite per la Regione Sicilia, deliberazioni n. 4/2018/PARI e n. 3/2018/PARI) sembrano aver adottato un orientamento differente, richiedendo l’evidenziazione della quota accantonata già in sede di rendiconto immediatamente successivo all’approvazione del bilancio societario d’esercizio in perdita, implicitamente prescrivendo la previa allocazione in parte spesa del bilancio di previsione, mediante apposita variazione (per tornare al precedente esempio, l’accantonamento per le perdite societarie dell’esercizio 2018, certificate con il bilancio approvato entro il mese di aprile 2019, andrebbe effettuato già nel bilancio dell’ente territoriale del 2019, previa apposita variazione). Quanto detto, comunque, non impedisce, in ogni caso, all’ente socio partecipante di procedere, prudenzialmente, al ridetto accantonamento anche in un momento anteriore.</w:t>
      </w:r>
    </w:p>
  </w:footnote>
  <w:footnote w:id="102">
    <w:p w14:paraId="69B8FAE6" w14:textId="5895E9A9"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Sul punto, la citata deliberazione </w:t>
      </w:r>
      <w:r w:rsidR="0034269D">
        <w:rPr>
          <w:rFonts w:ascii="Times New Roman" w:hAnsi="Times New Roman" w:cs="Times New Roman"/>
          <w:sz w:val="24"/>
          <w:szCs w:val="24"/>
        </w:rPr>
        <w:t xml:space="preserve">della Sezione Liguria </w:t>
      </w:r>
      <w:r w:rsidRPr="00F65B2D">
        <w:rPr>
          <w:rFonts w:ascii="Times New Roman" w:hAnsi="Times New Roman" w:cs="Times New Roman"/>
          <w:sz w:val="24"/>
          <w:szCs w:val="24"/>
        </w:rPr>
        <w:t>n. 127/2018/PAR ha chiarito che, alla luce del tenore letterale della disposizione, l’accantonamento richiesto dalla norma, da effettuare nell'anno successivo alla sua emersione formale, deve essere di importo pari al “</w:t>
      </w:r>
      <w:r w:rsidRPr="00F65B2D">
        <w:rPr>
          <w:rFonts w:ascii="Times New Roman" w:hAnsi="Times New Roman" w:cs="Times New Roman"/>
          <w:i/>
          <w:sz w:val="24"/>
          <w:szCs w:val="24"/>
        </w:rPr>
        <w:t>risultato negativo non immediatamente ripianato</w:t>
      </w:r>
      <w:r w:rsidRPr="00F65B2D">
        <w:rPr>
          <w:rFonts w:ascii="Times New Roman" w:hAnsi="Times New Roman" w:cs="Times New Roman"/>
          <w:sz w:val="24"/>
          <w:szCs w:val="24"/>
        </w:rPr>
        <w:t xml:space="preserve">”, ossia all’intera perdita d’esercizio (da ripartire </w:t>
      </w:r>
      <w:r w:rsidRPr="00F65B2D">
        <w:rPr>
          <w:rFonts w:ascii="Times New Roman" w:hAnsi="Times New Roman" w:cs="Times New Roman"/>
          <w:i/>
          <w:sz w:val="24"/>
          <w:szCs w:val="24"/>
        </w:rPr>
        <w:t>pro quota</w:t>
      </w:r>
      <w:r w:rsidRPr="00F65B2D">
        <w:rPr>
          <w:rFonts w:ascii="Times New Roman" w:hAnsi="Times New Roman" w:cs="Times New Roman"/>
          <w:sz w:val="24"/>
          <w:szCs w:val="24"/>
        </w:rPr>
        <w:t xml:space="preserve"> in caso di società pluripartecipate). </w:t>
      </w:r>
      <w:r w:rsidR="00976498">
        <w:rPr>
          <w:rFonts w:ascii="Times New Roman" w:hAnsi="Times New Roman" w:cs="Times New Roman"/>
          <w:sz w:val="24"/>
          <w:szCs w:val="24"/>
        </w:rPr>
        <w:t>L’</w:t>
      </w:r>
      <w:r w:rsidRPr="00F65B2D">
        <w:rPr>
          <w:rFonts w:ascii="Times New Roman" w:hAnsi="Times New Roman" w:cs="Times New Roman"/>
          <w:sz w:val="24"/>
          <w:szCs w:val="24"/>
        </w:rPr>
        <w:t xml:space="preserve">obbligo di accantonamento non trova, invece, un limite nel valore </w:t>
      </w:r>
      <w:r w:rsidR="00976498">
        <w:rPr>
          <w:rFonts w:ascii="Times New Roman" w:hAnsi="Times New Roman" w:cs="Times New Roman"/>
          <w:sz w:val="24"/>
          <w:szCs w:val="24"/>
        </w:rPr>
        <w:t xml:space="preserve">assoluto </w:t>
      </w:r>
      <w:r w:rsidRPr="00F65B2D">
        <w:rPr>
          <w:rFonts w:ascii="Times New Roman" w:hAnsi="Times New Roman" w:cs="Times New Roman"/>
          <w:sz w:val="24"/>
          <w:szCs w:val="24"/>
        </w:rPr>
        <w:t>della partecipazione detenuta da ogni ente territoriale</w:t>
      </w:r>
      <w:r w:rsidR="008E792B">
        <w:rPr>
          <w:rFonts w:ascii="Times New Roman" w:hAnsi="Times New Roman" w:cs="Times New Roman"/>
          <w:sz w:val="24"/>
          <w:szCs w:val="24"/>
        </w:rPr>
        <w:t>, misurata dall’importo del c</w:t>
      </w:r>
      <w:r w:rsidRPr="00F65B2D">
        <w:rPr>
          <w:rFonts w:ascii="Times New Roman" w:hAnsi="Times New Roman" w:cs="Times New Roman"/>
          <w:sz w:val="24"/>
          <w:szCs w:val="24"/>
        </w:rPr>
        <w:t xml:space="preserve">apitale </w:t>
      </w:r>
      <w:r w:rsidR="008E792B">
        <w:rPr>
          <w:rFonts w:ascii="Times New Roman" w:hAnsi="Times New Roman" w:cs="Times New Roman"/>
          <w:sz w:val="24"/>
          <w:szCs w:val="24"/>
        </w:rPr>
        <w:t xml:space="preserve">sociale </w:t>
      </w:r>
      <w:r w:rsidR="00314DF7">
        <w:rPr>
          <w:rFonts w:ascii="Times New Roman" w:hAnsi="Times New Roman" w:cs="Times New Roman"/>
          <w:sz w:val="24"/>
          <w:szCs w:val="24"/>
        </w:rPr>
        <w:t xml:space="preserve">o dal </w:t>
      </w:r>
      <w:r w:rsidRPr="00F65B2D">
        <w:rPr>
          <w:rFonts w:ascii="Times New Roman" w:hAnsi="Times New Roman" w:cs="Times New Roman"/>
          <w:sz w:val="24"/>
          <w:szCs w:val="24"/>
        </w:rPr>
        <w:t>patrimonio netto. In queste ultime ipotesi, infatti, la perdita d’esercizio potrebbe non trovare “</w:t>
      </w:r>
      <w:r w:rsidRPr="00F65B2D">
        <w:rPr>
          <w:rFonts w:ascii="Times New Roman" w:hAnsi="Times New Roman" w:cs="Times New Roman"/>
          <w:i/>
          <w:sz w:val="24"/>
          <w:szCs w:val="24"/>
        </w:rPr>
        <w:t>copertura</w:t>
      </w:r>
      <w:r w:rsidRPr="00F65B2D">
        <w:rPr>
          <w:rFonts w:ascii="Times New Roman" w:hAnsi="Times New Roman" w:cs="Times New Roman"/>
          <w:sz w:val="24"/>
          <w:szCs w:val="24"/>
        </w:rPr>
        <w:t>” nel fondo, in quanto il valore della quota di partecipazione (sia rapportato al capitale che al patrimonio netto) è elemento diverso, e completamente autonomo, rispetto all’ammontare della perdita d’esercizio. Occorre ricordare, in proposito, che il valore del conferimento effettuato nel capitale della società (che, a seguito della gestione, risulta pari alla frazione del patrimonio netto) corrisponde all’unica “</w:t>
      </w:r>
      <w:r w:rsidRPr="00F65B2D">
        <w:rPr>
          <w:rFonts w:ascii="Times New Roman" w:hAnsi="Times New Roman" w:cs="Times New Roman"/>
          <w:i/>
          <w:sz w:val="24"/>
          <w:szCs w:val="24"/>
        </w:rPr>
        <w:t>perdita</w:t>
      </w:r>
      <w:r w:rsidRPr="00F65B2D">
        <w:rPr>
          <w:rFonts w:ascii="Times New Roman" w:hAnsi="Times New Roman" w:cs="Times New Roman"/>
          <w:sz w:val="24"/>
          <w:szCs w:val="24"/>
        </w:rPr>
        <w:t>” certa che il socio di capitale (nel caso di specie, un ente territoriale) dovrebbe sostenere, in aderenza alla regola civilistica dell’autonomia patrimoniale perfetta (che il d.lgs. n. 175/2016 richiama, cfr. art. 1, comma 3, e rafforza, cfr. art. 14, senza che l’art. 21 ne costituisca una deroga).</w:t>
      </w:r>
    </w:p>
  </w:footnote>
  <w:footnote w:id="103">
    <w:p w14:paraId="69608B59" w14:textId="7A9E8D65"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2424 cod. civ., Attivo, lettera B, numero III.</w:t>
      </w:r>
    </w:p>
  </w:footnote>
  <w:footnote w:id="104">
    <w:p w14:paraId="17EC6F0C" w14:textId="4929A0CA"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Come noto, il “patrimonio netto</w:t>
      </w:r>
      <w:r w:rsidR="00FE28D6">
        <w:rPr>
          <w:rFonts w:ascii="Times New Roman" w:hAnsi="Times New Roman" w:cs="Times New Roman"/>
          <w:sz w:val="24"/>
          <w:szCs w:val="24"/>
        </w:rPr>
        <w:t>”</w:t>
      </w:r>
      <w:r w:rsidRPr="00F65B2D">
        <w:rPr>
          <w:rFonts w:ascii="Times New Roman" w:hAnsi="Times New Roman" w:cs="Times New Roman"/>
          <w:sz w:val="24"/>
          <w:szCs w:val="24"/>
        </w:rPr>
        <w:t xml:space="preserve">, voce del passivo dello stato patrimoniale (cfr. art. 2424 cod. civ., lettera </w:t>
      </w:r>
      <w:r w:rsidRPr="00E11A0A">
        <w:rPr>
          <w:rFonts w:ascii="Times New Roman" w:hAnsi="Times New Roman" w:cs="Times New Roman"/>
          <w:i/>
          <w:iCs/>
          <w:sz w:val="24"/>
          <w:szCs w:val="24"/>
        </w:rPr>
        <w:t>A</w:t>
      </w:r>
      <w:r w:rsidRPr="00F65B2D">
        <w:rPr>
          <w:rFonts w:ascii="Times New Roman" w:hAnsi="Times New Roman" w:cs="Times New Roman"/>
          <w:sz w:val="24"/>
          <w:szCs w:val="24"/>
        </w:rPr>
        <w:t xml:space="preserve">) esprime, quantomeno in una visione statica (al netto della valutazione delle future prospettive reddituali o di altri fattori, anche esogeni alla compagine societaria), il valore reale della partecipazione, quale risultato delle gestioni, positive o negative, registrate dalla società (a differenza dell’importo del “capitale sociale”, anch’esso voce del passivo dello stato patrimoniale, cfr. art. 2424 cod. civ., lettera </w:t>
      </w:r>
      <w:r w:rsidRPr="00B9686F">
        <w:rPr>
          <w:rFonts w:ascii="Times New Roman" w:hAnsi="Times New Roman" w:cs="Times New Roman"/>
          <w:i/>
          <w:iCs/>
          <w:sz w:val="24"/>
          <w:szCs w:val="24"/>
        </w:rPr>
        <w:t>A.I</w:t>
      </w:r>
      <w:r w:rsidRPr="00F65B2D">
        <w:rPr>
          <w:rFonts w:ascii="Times New Roman" w:hAnsi="Times New Roman" w:cs="Times New Roman"/>
          <w:sz w:val="24"/>
          <w:szCs w:val="24"/>
        </w:rPr>
        <w:t xml:space="preserve">, che esprime solo il valore nominale dell’apporto effettuato, a suo tempo, dai soci, al netto dell’incorporazione dei risultati gestionali degli esercizi precedenti).     </w:t>
      </w:r>
    </w:p>
  </w:footnote>
  <w:footnote w:id="105">
    <w:p w14:paraId="56D0C310" w14:textId="44B47FC5"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Sia il presente periodo della norma che quello immediatamente precedente, riferito al caso, più ricorrente, della pubblica amministrazione locale in contabilità finanziaria (per esempio, regioni ed enti locali), esclude la necessità di procedere all’accantonamento in esame quando il risultato negativo venga immediatamente ripianato (e, nel caso delle amministrazioni in contabilità economico-patrimoniale, se non “</w:t>
      </w:r>
      <w:r w:rsidRPr="00E11A0A">
        <w:rPr>
          <w:rFonts w:ascii="Times New Roman" w:hAnsi="Times New Roman" w:cs="Times New Roman"/>
          <w:i/>
          <w:iCs/>
          <w:sz w:val="24"/>
          <w:szCs w:val="24"/>
        </w:rPr>
        <w:t>costituisca perdita durevole di valore</w:t>
      </w:r>
      <w:r w:rsidRPr="00F65B2D">
        <w:rPr>
          <w:rFonts w:ascii="Times New Roman" w:hAnsi="Times New Roman" w:cs="Times New Roman"/>
          <w:sz w:val="24"/>
          <w:szCs w:val="24"/>
        </w:rPr>
        <w:t>”). La precisazione normativa induce a ritenere che, nel caso in cui la società pubblica che ha registrato la perdita disponga di riserve disponibili, accumulate in precedenza, che permettano di “assorbir</w:t>
      </w:r>
      <w:r w:rsidR="004955FF">
        <w:rPr>
          <w:rFonts w:ascii="Times New Roman" w:hAnsi="Times New Roman" w:cs="Times New Roman"/>
          <w:sz w:val="24"/>
          <w:szCs w:val="24"/>
        </w:rPr>
        <w:t>la</w:t>
      </w:r>
      <w:r w:rsidRPr="00F65B2D">
        <w:rPr>
          <w:rFonts w:ascii="Times New Roman" w:hAnsi="Times New Roman" w:cs="Times New Roman"/>
          <w:sz w:val="24"/>
          <w:szCs w:val="24"/>
        </w:rPr>
        <w:t xml:space="preserve">”, senza intaccare il patrimonio netto, l’amministrazione locale partecipante possa non effettuare l’accantonamento imposto dall’art. 21 del d.lgs. n. 175/2016. </w:t>
      </w:r>
    </w:p>
  </w:footnote>
  <w:footnote w:id="106">
    <w:p w14:paraId="314E46E2" w14:textId="54F8E58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 relazione al periodo in parola del</w:t>
      </w:r>
      <w:r w:rsidR="005D14E0" w:rsidRPr="00F65B2D">
        <w:rPr>
          <w:rFonts w:ascii="Times New Roman" w:hAnsi="Times New Roman" w:cs="Times New Roman"/>
          <w:sz w:val="24"/>
          <w:szCs w:val="24"/>
        </w:rPr>
        <w:t>l’art. 21 TUSP</w:t>
      </w:r>
      <w:r w:rsidRPr="00F65B2D">
        <w:rPr>
          <w:rFonts w:ascii="Times New Roman" w:hAnsi="Times New Roman" w:cs="Times New Roman"/>
          <w:sz w:val="24"/>
          <w:szCs w:val="24"/>
        </w:rPr>
        <w:t xml:space="preserve"> (che riproduce, letteralmente, il contenuto dispositivo del precedente comma 551 della legge n. 147/2013, valevole</w:t>
      </w:r>
      <w:r w:rsidR="005D14E0" w:rsidRPr="00F65B2D">
        <w:rPr>
          <w:rFonts w:ascii="Times New Roman" w:hAnsi="Times New Roman" w:cs="Times New Roman"/>
          <w:sz w:val="24"/>
          <w:szCs w:val="24"/>
        </w:rPr>
        <w:t>, fino al d.lgs. n. 175/2016,</w:t>
      </w:r>
      <w:r w:rsidRPr="00F65B2D">
        <w:rPr>
          <w:rFonts w:ascii="Times New Roman" w:hAnsi="Times New Roman" w:cs="Times New Roman"/>
          <w:sz w:val="24"/>
          <w:szCs w:val="24"/>
        </w:rPr>
        <w:t xml:space="preserve"> anche per le società) si è reso necessario un </w:t>
      </w:r>
      <w:r w:rsidRPr="00F65B2D">
        <w:rPr>
          <w:rFonts w:ascii="Times New Roman" w:eastAsia="Verdana" w:hAnsi="Times New Roman" w:cs="Times New Roman"/>
          <w:color w:val="000000"/>
          <w:sz w:val="24"/>
          <w:szCs w:val="24"/>
          <w:lang w:eastAsia="it-IT"/>
        </w:rPr>
        <w:t>coordinamento interpretativo con la riforma dei bilanci societari operata dal d.lgs. n. 139/2015, che, nella strutturazione del “</w:t>
      </w:r>
      <w:r w:rsidRPr="00350ABF">
        <w:rPr>
          <w:rFonts w:ascii="Times New Roman" w:eastAsia="Verdana" w:hAnsi="Times New Roman" w:cs="Times New Roman"/>
          <w:i/>
          <w:iCs/>
          <w:color w:val="000000"/>
          <w:sz w:val="24"/>
          <w:szCs w:val="24"/>
          <w:lang w:eastAsia="it-IT"/>
        </w:rPr>
        <w:t>conto economico</w:t>
      </w:r>
      <w:r w:rsidRPr="00F65B2D">
        <w:rPr>
          <w:rFonts w:ascii="Times New Roman" w:eastAsia="Verdana" w:hAnsi="Times New Roman" w:cs="Times New Roman"/>
          <w:color w:val="000000"/>
          <w:sz w:val="24"/>
          <w:szCs w:val="24"/>
          <w:lang w:eastAsia="it-IT"/>
        </w:rPr>
        <w:t>”, ha soppresso la voce "</w:t>
      </w:r>
      <w:r w:rsidRPr="00F65B2D">
        <w:rPr>
          <w:rFonts w:ascii="Times New Roman" w:eastAsia="Verdana" w:hAnsi="Times New Roman" w:cs="Times New Roman"/>
          <w:i/>
          <w:color w:val="000000"/>
          <w:sz w:val="24"/>
          <w:szCs w:val="24"/>
          <w:lang w:eastAsia="it-IT"/>
        </w:rPr>
        <w:t>E) Proventi e oneri straordinari</w:t>
      </w:r>
      <w:r w:rsidRPr="00F65B2D">
        <w:rPr>
          <w:rFonts w:ascii="Times New Roman" w:eastAsia="Verdana" w:hAnsi="Times New Roman" w:cs="Times New Roman"/>
          <w:color w:val="000000"/>
          <w:sz w:val="24"/>
          <w:szCs w:val="24"/>
          <w:lang w:eastAsia="it-IT"/>
        </w:rPr>
        <w:t xml:space="preserve">", che, prima della riforma, comprendeva tutte le poste, attive o passive, </w:t>
      </w:r>
      <w:r w:rsidR="00350ABF">
        <w:rPr>
          <w:rFonts w:ascii="Times New Roman" w:eastAsia="Verdana" w:hAnsi="Times New Roman" w:cs="Times New Roman"/>
          <w:color w:val="000000"/>
          <w:sz w:val="24"/>
          <w:szCs w:val="24"/>
          <w:lang w:eastAsia="it-IT"/>
        </w:rPr>
        <w:t>rilevate</w:t>
      </w:r>
      <w:r w:rsidRPr="00F65B2D">
        <w:rPr>
          <w:rFonts w:ascii="Times New Roman" w:eastAsia="Verdana" w:hAnsi="Times New Roman" w:cs="Times New Roman"/>
          <w:color w:val="000000"/>
          <w:sz w:val="24"/>
          <w:szCs w:val="24"/>
          <w:lang w:eastAsia="it-IT"/>
        </w:rPr>
        <w:t xml:space="preserve"> nel corso di un esercizio</w:t>
      </w:r>
      <w:r w:rsidR="005D14E0" w:rsidRPr="00F65B2D">
        <w:rPr>
          <w:rFonts w:ascii="Times New Roman" w:eastAsia="Verdana" w:hAnsi="Times New Roman" w:cs="Times New Roman"/>
          <w:color w:val="000000"/>
          <w:sz w:val="24"/>
          <w:szCs w:val="24"/>
          <w:lang w:eastAsia="it-IT"/>
        </w:rPr>
        <w:t>,</w:t>
      </w:r>
      <w:r w:rsidRPr="00F65B2D">
        <w:rPr>
          <w:rFonts w:ascii="Times New Roman" w:eastAsia="Verdana" w:hAnsi="Times New Roman" w:cs="Times New Roman"/>
          <w:color w:val="000000"/>
          <w:sz w:val="24"/>
          <w:szCs w:val="24"/>
          <w:lang w:eastAsia="it-IT"/>
        </w:rPr>
        <w:t xml:space="preserve"> non rientranti nella gestione caratteristica. Pertanto, dopo </w:t>
      </w:r>
      <w:r w:rsidR="005D14E0" w:rsidRPr="00F65B2D">
        <w:rPr>
          <w:rFonts w:ascii="Times New Roman" w:eastAsia="Verdana" w:hAnsi="Times New Roman" w:cs="Times New Roman"/>
          <w:color w:val="000000"/>
          <w:sz w:val="24"/>
          <w:szCs w:val="24"/>
          <w:lang w:eastAsia="it-IT"/>
        </w:rPr>
        <w:t>il d.lgs. n. 139/2015</w:t>
      </w:r>
      <w:r w:rsidRPr="00F65B2D">
        <w:rPr>
          <w:rFonts w:ascii="Times New Roman" w:eastAsia="Verdana" w:hAnsi="Times New Roman" w:cs="Times New Roman"/>
          <w:color w:val="000000"/>
          <w:sz w:val="24"/>
          <w:szCs w:val="24"/>
          <w:lang w:eastAsia="it-IT"/>
        </w:rPr>
        <w:t xml:space="preserve">, la differenziazione, contenuta nell’art. 21 del d.lgs. n. 175/2016, </w:t>
      </w:r>
      <w:r w:rsidR="00F940C5">
        <w:rPr>
          <w:rFonts w:ascii="Times New Roman" w:eastAsia="Verdana" w:hAnsi="Times New Roman" w:cs="Times New Roman"/>
          <w:color w:val="000000"/>
          <w:sz w:val="24"/>
          <w:szCs w:val="24"/>
          <w:lang w:eastAsia="it-IT"/>
        </w:rPr>
        <w:t>per il</w:t>
      </w:r>
      <w:r w:rsidRPr="00F65B2D">
        <w:rPr>
          <w:rFonts w:ascii="Times New Roman" w:eastAsia="Verdana" w:hAnsi="Times New Roman" w:cs="Times New Roman"/>
          <w:color w:val="000000"/>
          <w:sz w:val="24"/>
          <w:szCs w:val="24"/>
          <w:lang w:eastAsia="it-IT"/>
        </w:rPr>
        <w:t xml:space="preserve"> “</w:t>
      </w:r>
      <w:r w:rsidRPr="00F940C5">
        <w:rPr>
          <w:rFonts w:ascii="Times New Roman" w:eastAsia="Verdana" w:hAnsi="Times New Roman" w:cs="Times New Roman"/>
          <w:i/>
          <w:iCs/>
          <w:color w:val="000000"/>
          <w:sz w:val="24"/>
          <w:szCs w:val="24"/>
          <w:lang w:eastAsia="it-IT"/>
        </w:rPr>
        <w:t>risultato d’esercizio</w:t>
      </w:r>
      <w:r w:rsidRPr="00F65B2D">
        <w:rPr>
          <w:rFonts w:ascii="Times New Roman" w:eastAsia="Verdana" w:hAnsi="Times New Roman" w:cs="Times New Roman"/>
          <w:color w:val="000000"/>
          <w:sz w:val="24"/>
          <w:szCs w:val="24"/>
          <w:lang w:eastAsia="it-IT"/>
        </w:rPr>
        <w:t xml:space="preserve">” da prendere in considerazione ai fini dell’accantonamento che l’ente territoriale deve operare, sembra venuta meno. Sul punto, la citata deliberazione n. 127/2018/PAR della Sezione regionale di controllo per la Liguria ha ritenuto che, in aderenza all’immutato tenore letterale della norma </w:t>
      </w:r>
      <w:r w:rsidR="005D14E0" w:rsidRPr="00F65B2D">
        <w:rPr>
          <w:rFonts w:ascii="Times New Roman" w:eastAsia="Verdana" w:hAnsi="Times New Roman" w:cs="Times New Roman"/>
          <w:color w:val="000000"/>
          <w:sz w:val="24"/>
          <w:szCs w:val="24"/>
          <w:lang w:eastAsia="it-IT"/>
        </w:rPr>
        <w:t xml:space="preserve">del TUSP </w:t>
      </w:r>
      <w:r w:rsidRPr="00F65B2D">
        <w:rPr>
          <w:rFonts w:ascii="Times New Roman" w:eastAsia="Verdana" w:hAnsi="Times New Roman" w:cs="Times New Roman"/>
          <w:color w:val="000000"/>
          <w:sz w:val="24"/>
          <w:szCs w:val="24"/>
          <w:lang w:eastAsia="it-IT"/>
        </w:rPr>
        <w:t>(in altri casi oggetto, invece, di rivisitazione da parte del legislatore), p</w:t>
      </w:r>
      <w:r w:rsidRPr="00F65B2D">
        <w:rPr>
          <w:rFonts w:ascii="Times New Roman" w:hAnsi="Times New Roman" w:cs="Times New Roman"/>
          <w:sz w:val="24"/>
          <w:szCs w:val="24"/>
        </w:rPr>
        <w:t>er le società che svolgono servizi pubblici a rete di rilevanza economica, per “</w:t>
      </w:r>
      <w:r w:rsidRPr="00F940C5">
        <w:rPr>
          <w:rFonts w:ascii="Times New Roman" w:hAnsi="Times New Roman" w:cs="Times New Roman"/>
          <w:i/>
          <w:iCs/>
          <w:sz w:val="24"/>
          <w:szCs w:val="24"/>
        </w:rPr>
        <w:t>risultato</w:t>
      </w:r>
      <w:r w:rsidR="005D14E0" w:rsidRPr="00F940C5">
        <w:rPr>
          <w:rFonts w:ascii="Times New Roman" w:hAnsi="Times New Roman" w:cs="Times New Roman"/>
          <w:i/>
          <w:iCs/>
          <w:sz w:val="24"/>
          <w:szCs w:val="24"/>
        </w:rPr>
        <w:t xml:space="preserve"> d’esercizio</w:t>
      </w:r>
      <w:r w:rsidRPr="00F65B2D">
        <w:rPr>
          <w:rFonts w:ascii="Times New Roman" w:hAnsi="Times New Roman" w:cs="Times New Roman"/>
          <w:sz w:val="24"/>
          <w:szCs w:val="24"/>
        </w:rPr>
        <w:t>” continua ad intendersi la mera differenza tra “</w:t>
      </w:r>
      <w:r w:rsidRPr="00F940C5">
        <w:rPr>
          <w:rFonts w:ascii="Times New Roman" w:hAnsi="Times New Roman" w:cs="Times New Roman"/>
          <w:i/>
          <w:iCs/>
          <w:sz w:val="24"/>
          <w:szCs w:val="24"/>
        </w:rPr>
        <w:t>valore</w:t>
      </w:r>
      <w:r w:rsidRPr="00F65B2D">
        <w:rPr>
          <w:rFonts w:ascii="Times New Roman" w:hAnsi="Times New Roman" w:cs="Times New Roman"/>
          <w:sz w:val="24"/>
          <w:szCs w:val="24"/>
        </w:rPr>
        <w:t>” e “</w:t>
      </w:r>
      <w:r w:rsidRPr="00F940C5">
        <w:rPr>
          <w:rFonts w:ascii="Times New Roman" w:hAnsi="Times New Roman" w:cs="Times New Roman"/>
          <w:i/>
          <w:iCs/>
          <w:sz w:val="24"/>
          <w:szCs w:val="24"/>
        </w:rPr>
        <w:t>costi</w:t>
      </w:r>
      <w:r w:rsidRPr="00F65B2D">
        <w:rPr>
          <w:rFonts w:ascii="Times New Roman" w:hAnsi="Times New Roman" w:cs="Times New Roman"/>
          <w:sz w:val="24"/>
          <w:szCs w:val="24"/>
        </w:rPr>
        <w:t>” della produzione, ai sensi dell'articolo 2425 del codice civile, nella sua</w:t>
      </w:r>
      <w:r w:rsidR="005D14E0" w:rsidRPr="00F65B2D">
        <w:rPr>
          <w:rFonts w:ascii="Times New Roman" w:hAnsi="Times New Roman" w:cs="Times New Roman"/>
          <w:sz w:val="24"/>
          <w:szCs w:val="24"/>
        </w:rPr>
        <w:t>, rinnovata,</w:t>
      </w:r>
      <w:r w:rsidRPr="00F65B2D">
        <w:rPr>
          <w:rFonts w:ascii="Times New Roman" w:hAnsi="Times New Roman" w:cs="Times New Roman"/>
          <w:sz w:val="24"/>
          <w:szCs w:val="24"/>
        </w:rPr>
        <w:t xml:space="preserve"> attuale</w:t>
      </w:r>
      <w:r w:rsidR="005D14E0" w:rsidRPr="00F65B2D">
        <w:rPr>
          <w:rFonts w:ascii="Times New Roman" w:hAnsi="Times New Roman" w:cs="Times New Roman"/>
          <w:sz w:val="24"/>
          <w:szCs w:val="24"/>
        </w:rPr>
        <w:t>,</w:t>
      </w:r>
      <w:r w:rsidRPr="00F65B2D">
        <w:rPr>
          <w:rFonts w:ascii="Times New Roman" w:hAnsi="Times New Roman" w:cs="Times New Roman"/>
          <w:sz w:val="24"/>
          <w:szCs w:val="24"/>
        </w:rPr>
        <w:t xml:space="preserve"> formulazione (che comprende, come detto</w:t>
      </w:r>
      <w:r w:rsidR="005D14E0" w:rsidRPr="00F65B2D">
        <w:rPr>
          <w:rFonts w:ascii="Times New Roman" w:hAnsi="Times New Roman" w:cs="Times New Roman"/>
          <w:sz w:val="24"/>
          <w:szCs w:val="24"/>
        </w:rPr>
        <w:t>,</w:t>
      </w:r>
      <w:r w:rsidRPr="00F65B2D">
        <w:rPr>
          <w:rFonts w:ascii="Times New Roman" w:hAnsi="Times New Roman" w:cs="Times New Roman"/>
          <w:sz w:val="24"/>
          <w:szCs w:val="24"/>
        </w:rPr>
        <w:t xml:space="preserve"> anche la “</w:t>
      </w:r>
      <w:r w:rsidRPr="00F940C5">
        <w:rPr>
          <w:rFonts w:ascii="Times New Roman" w:hAnsi="Times New Roman" w:cs="Times New Roman"/>
          <w:i/>
          <w:iCs/>
          <w:sz w:val="24"/>
          <w:szCs w:val="24"/>
        </w:rPr>
        <w:t>gestione straordinaria</w:t>
      </w:r>
      <w:r w:rsidRPr="00F65B2D">
        <w:rPr>
          <w:rFonts w:ascii="Times New Roman" w:hAnsi="Times New Roman" w:cs="Times New Roman"/>
          <w:sz w:val="24"/>
          <w:szCs w:val="24"/>
        </w:rPr>
        <w:t xml:space="preserve">”). La differenziazione </w:t>
      </w:r>
      <w:r w:rsidR="005D14E0" w:rsidRPr="00F65B2D">
        <w:rPr>
          <w:rFonts w:ascii="Times New Roman" w:hAnsi="Times New Roman" w:cs="Times New Roman"/>
          <w:sz w:val="24"/>
          <w:szCs w:val="24"/>
        </w:rPr>
        <w:t>operata dall</w:t>
      </w:r>
      <w:r w:rsidRPr="00F65B2D">
        <w:rPr>
          <w:rFonts w:ascii="Times New Roman" w:hAnsi="Times New Roman" w:cs="Times New Roman"/>
          <w:sz w:val="24"/>
          <w:szCs w:val="24"/>
        </w:rPr>
        <w:t>’art. 21 TUSP mantiene, comunque, un significato, posto che, per le sole società che gestiscono servizi pubblici locali a rete (e non, per esempio, per le società c.d. strumentali), viene tenuta fuori la “</w:t>
      </w:r>
      <w:r w:rsidRPr="00F65B2D">
        <w:rPr>
          <w:rFonts w:ascii="Times New Roman" w:hAnsi="Times New Roman" w:cs="Times New Roman"/>
          <w:i/>
          <w:sz w:val="24"/>
          <w:szCs w:val="24"/>
        </w:rPr>
        <w:t>gestione finanziaria</w:t>
      </w:r>
      <w:r w:rsidRPr="00F65B2D">
        <w:rPr>
          <w:rFonts w:ascii="Times New Roman" w:hAnsi="Times New Roman" w:cs="Times New Roman"/>
          <w:sz w:val="24"/>
          <w:szCs w:val="24"/>
        </w:rPr>
        <w:t>”</w:t>
      </w:r>
      <w:r w:rsidR="00EE7ED5" w:rsidRPr="00EE7ED5">
        <w:rPr>
          <w:rFonts w:ascii="Times New Roman" w:hAnsi="Times New Roman" w:cs="Times New Roman"/>
          <w:sz w:val="24"/>
          <w:szCs w:val="24"/>
        </w:rPr>
        <w:t>.</w:t>
      </w:r>
    </w:p>
  </w:footnote>
  <w:footnote w:id="107">
    <w:p w14:paraId="527CFE90" w14:textId="03FAF51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2425 cod. civ., voce “</w:t>
      </w:r>
      <w:r w:rsidRPr="00F65B2D">
        <w:rPr>
          <w:rFonts w:ascii="Times New Roman" w:hAnsi="Times New Roman" w:cs="Times New Roman"/>
          <w:i/>
          <w:sz w:val="24"/>
          <w:szCs w:val="24"/>
        </w:rPr>
        <w:t>n. 21) utile (perdite) dell’esercizio</w:t>
      </w:r>
      <w:r w:rsidRPr="00F65B2D">
        <w:rPr>
          <w:rFonts w:ascii="Times New Roman" w:hAnsi="Times New Roman" w:cs="Times New Roman"/>
          <w:sz w:val="24"/>
          <w:szCs w:val="24"/>
        </w:rPr>
        <w:t>”.</w:t>
      </w:r>
    </w:p>
  </w:footnote>
  <w:footnote w:id="108">
    <w:p w14:paraId="0F3C2F60" w14:textId="37F3A83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Nella ricorrenza dei presupposti e dei limiti riportati nel successivo paragrafo della presente deliberazione.</w:t>
      </w:r>
    </w:p>
  </w:footnote>
  <w:footnote w:id="109">
    <w:p w14:paraId="62B4BF15" w14:textId="7CDA28BF"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Nel caso in cui i soggetti partecipati ripianino in tutto o in parte le perdite conseguite negli esercizi precedenti l'importo accantonato viene reso disponibile agli enti partecipanti in misura corrispondente e proporzionale alla quota di partecipazione.</w:t>
      </w:r>
    </w:p>
  </w:footnote>
  <w:footnote w:id="110">
    <w:p w14:paraId="7688F1EC" w14:textId="6D90C11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Nello specifico</w:t>
      </w:r>
      <w:r w:rsidR="005D14E0" w:rsidRPr="00F65B2D">
        <w:rPr>
          <w:rFonts w:ascii="Times New Roman" w:hAnsi="Times New Roman" w:cs="Times New Roman"/>
          <w:sz w:val="24"/>
          <w:szCs w:val="24"/>
        </w:rPr>
        <w:t>,</w:t>
      </w:r>
      <w:r w:rsidRPr="00F65B2D">
        <w:rPr>
          <w:rFonts w:ascii="Times New Roman" w:hAnsi="Times New Roman" w:cs="Times New Roman"/>
          <w:sz w:val="24"/>
          <w:szCs w:val="24"/>
        </w:rPr>
        <w:t xml:space="preserve"> la norma prevede due ipotesi: nella prima (lett. a), riguardante società che hanno registrato, nel triennio 2011-2013, un risultato medio negativo</w:t>
      </w:r>
      <w:r w:rsidR="00736F3E">
        <w:rPr>
          <w:rFonts w:ascii="Times New Roman" w:hAnsi="Times New Roman" w:cs="Times New Roman"/>
          <w:sz w:val="24"/>
          <w:szCs w:val="24"/>
        </w:rPr>
        <w:t>,</w:t>
      </w:r>
      <w:r w:rsidRPr="00F65B2D">
        <w:rPr>
          <w:rFonts w:ascii="Times New Roman" w:hAnsi="Times New Roman" w:cs="Times New Roman"/>
          <w:sz w:val="24"/>
          <w:szCs w:val="24"/>
        </w:rPr>
        <w:t xml:space="preserve"> l’accantonamento, in proporzione alla quota di partecipazione, è pari alla differenza tra il risultato conseguito nell'esercizio precedente e il risultato medio 2011-2013, migliorato, rispettivamente, del 25 per cento per il 2014, del 50 per cento per il 2015 e del 75 per cento per il 2016 (tuttavia, qualora il risultato negativo sia peggiore di quello medio registrato nel triennio 2011-2013, l'accantonamento è operato nella misura indicata dalla successiva lettera b); nella seconda (lett. b), riguardante le società che hanno registrato, nel triennio 2011-2013, un risultato medio non negativo, l’accantonamento, in misura proporzionale alla quota di partecipazione, è pari al 25 per cento per il 2015, al 50 per cento per il 2016 e al 75 per cento per il 2017 del risultato negativo conseguito nell'esercizio precedente.</w:t>
      </w:r>
    </w:p>
  </w:footnote>
  <w:footnote w:id="111">
    <w:p w14:paraId="5DF561A3" w14:textId="70531357"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O, piuttosto, come strumento indiretto di coazione al perseguimento di una gestione economico-patrimoniale equilibrata.</w:t>
      </w:r>
    </w:p>
  </w:footnote>
  <w:footnote w:id="112">
    <w:p w14:paraId="46680780" w14:textId="33B52054" w:rsidR="005D14E0" w:rsidRPr="00F65B2D" w:rsidRDefault="005D14E0" w:rsidP="00691547">
      <w:pPr>
        <w:pStyle w:val="Corpotesto"/>
        <w:spacing w:before="0"/>
        <w:ind w:firstLine="0"/>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 ulteriori approfondimenti può farsi rinvio a Corte conti, Sezione delle autonomie, deliberazione n. 4/2015/INPR, nonché alle deliberazioni delle Sezioni regionali di controllo per l’Umbria, n. 28/2017/PAR, e per il Veneto, n. 75/2017/PRSP e n. 111/2017/PRSP.</w:t>
      </w:r>
    </w:p>
  </w:footnote>
  <w:footnote w:id="113">
    <w:p w14:paraId="7C07B72A" w14:textId="19CE4E3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Può farsi rinvio, solo per fare alcuni esempi, a Corte conti, SRC Lombardia, deliberazioni n. 260/2015/PRSE, n. 269/2015/PRSE, n. 481/2015/PRSE.</w:t>
      </w:r>
    </w:p>
  </w:footnote>
  <w:footnote w:id="114">
    <w:p w14:paraId="4F4ECC9B" w14:textId="0C84BCB5"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Distinto logicamente, prima ancora che giuridicamente, è il c.d. “controllo analogo”, legittimante l’affidamento diretto di appalti e concessioni, oggetto, dopo anni di mera elaborazione giurisprudenziale, di puntuale disciplina normativa, sia da parte del codice dei contratti pubblici (artt. 5 e 192 del d.lgs. 50/2016) che dal testo unico sulle società pubbliche (art. 16 del d.lgs. 175/2016). Pur potendo, nei presupposti di fatto, essere interferenti, la verifica dei requisiti del c.d. “</w:t>
      </w:r>
      <w:r w:rsidRPr="00226506">
        <w:rPr>
          <w:rFonts w:ascii="Times New Roman" w:hAnsi="Times New Roman" w:cs="Times New Roman"/>
          <w:i/>
          <w:iCs/>
          <w:sz w:val="24"/>
          <w:szCs w:val="24"/>
        </w:rPr>
        <w:t>controllo analogo</w:t>
      </w:r>
      <w:r w:rsidRPr="00F65B2D">
        <w:rPr>
          <w:rFonts w:ascii="Times New Roman" w:hAnsi="Times New Roman" w:cs="Times New Roman"/>
          <w:sz w:val="24"/>
          <w:szCs w:val="24"/>
        </w:rPr>
        <w:t>” è funzionale alla, sola, valutazione della legittimità dell’affidamento diretto di un contratto alla società controllata, definita, in quanto tale, “</w:t>
      </w:r>
      <w:r w:rsidRPr="00F65B2D">
        <w:rPr>
          <w:rFonts w:ascii="Times New Roman" w:hAnsi="Times New Roman" w:cs="Times New Roman"/>
          <w:i/>
          <w:sz w:val="24"/>
          <w:szCs w:val="24"/>
        </w:rPr>
        <w:t>in house</w:t>
      </w:r>
      <w:r w:rsidRPr="00F65B2D">
        <w:rPr>
          <w:rFonts w:ascii="Times New Roman" w:hAnsi="Times New Roman" w:cs="Times New Roman"/>
          <w:sz w:val="24"/>
          <w:szCs w:val="24"/>
        </w:rPr>
        <w:t>” (con espressione che andrebbe rivista alla luce dell’ampliamento delle possibilità di affidamento diretto previste dall’art. 5 del d.lgs. 50/2016, in aderenza alle direttive europee del 2014, che risultano fondate, più che su una relazione domenicale, anche latamente intesa, fra ente affidante e società affidataria, sulla permanenza del contratto da eseguire all’interno del perimetro delle “</w:t>
      </w:r>
      <w:r w:rsidRPr="00E9417F">
        <w:rPr>
          <w:rFonts w:ascii="Times New Roman" w:hAnsi="Times New Roman" w:cs="Times New Roman"/>
          <w:i/>
          <w:iCs/>
          <w:sz w:val="24"/>
          <w:szCs w:val="24"/>
        </w:rPr>
        <w:t>amministrazioni aggiudicatrici</w:t>
      </w:r>
      <w:r w:rsidRPr="00F65B2D">
        <w:rPr>
          <w:rFonts w:ascii="Times New Roman" w:hAnsi="Times New Roman" w:cs="Times New Roman"/>
          <w:sz w:val="24"/>
          <w:szCs w:val="24"/>
        </w:rPr>
        <w:t xml:space="preserve">”).    </w:t>
      </w:r>
    </w:p>
  </w:footnote>
  <w:footnote w:id="115">
    <w:p w14:paraId="1D0C23C9" w14:textId="64A73EED"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Cfr. art. 4 d.lgs. 175/2016 (e, in precedenza, art. 3, comma 27, legge 244/2007), in base al quale le partecipazioni societarie, per essere legittimamente detenute da enti pubblici (al netto delle eccezioni espressamente previste dalla legge) devono essere strettamente inerenti alle missioni istituzionali, attribuite, dalla legge (art. 97 Cost.) ad ogni PA. </w:t>
      </w:r>
    </w:p>
  </w:footnote>
  <w:footnote w:id="116">
    <w:p w14:paraId="49EF2F67" w14:textId="3D3B8B45"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 garantirlo, l’ente proprietario può provvedere in vari modi. La modalità fisiologica è la programmazione di un contributo o di un corrispettivo congruo</w:t>
      </w:r>
      <w:r w:rsidR="00095E8B" w:rsidRPr="00F65B2D">
        <w:rPr>
          <w:rFonts w:ascii="Times New Roman" w:hAnsi="Times New Roman" w:cs="Times New Roman"/>
          <w:sz w:val="24"/>
          <w:szCs w:val="24"/>
        </w:rPr>
        <w:t xml:space="preserve"> (cfr. art. 192 d.lgs. 50/2016), che, n</w:t>
      </w:r>
      <w:r w:rsidRPr="00F65B2D">
        <w:rPr>
          <w:rFonts w:ascii="Times New Roman" w:hAnsi="Times New Roman" w:cs="Times New Roman"/>
          <w:sz w:val="24"/>
          <w:szCs w:val="24"/>
        </w:rPr>
        <w:t>el caso di servizi strumentali, deve essere conforme ai costi di app</w:t>
      </w:r>
      <w:r w:rsidR="00095E8B" w:rsidRPr="00F65B2D">
        <w:rPr>
          <w:rFonts w:ascii="Times New Roman" w:hAnsi="Times New Roman" w:cs="Times New Roman"/>
          <w:sz w:val="24"/>
          <w:szCs w:val="24"/>
        </w:rPr>
        <w:t>rovvigionamento, mentre, n</w:t>
      </w:r>
      <w:r w:rsidRPr="00F65B2D">
        <w:rPr>
          <w:rFonts w:ascii="Times New Roman" w:hAnsi="Times New Roman" w:cs="Times New Roman"/>
          <w:sz w:val="24"/>
          <w:szCs w:val="24"/>
        </w:rPr>
        <w:t xml:space="preserve">el caso di servizi pubblici, dato che il prezzo per le prestazioni viene pagato direttamente dagli utenti, deve essere tale da compensare </w:t>
      </w:r>
      <w:r w:rsidR="00095E8B" w:rsidRPr="00F65B2D">
        <w:rPr>
          <w:rFonts w:ascii="Times New Roman" w:hAnsi="Times New Roman" w:cs="Times New Roman"/>
          <w:sz w:val="24"/>
          <w:szCs w:val="24"/>
        </w:rPr>
        <w:t>i</w:t>
      </w:r>
      <w:r w:rsidRPr="00F65B2D">
        <w:rPr>
          <w:rFonts w:ascii="Times New Roman" w:hAnsi="Times New Roman" w:cs="Times New Roman"/>
          <w:sz w:val="24"/>
          <w:szCs w:val="24"/>
        </w:rPr>
        <w:t>l costo sociale del servizio universale.</w:t>
      </w:r>
    </w:p>
  </w:footnote>
  <w:footnote w:id="117">
    <w:p w14:paraId="75C5A8D0" w14:textId="417E68B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rinvia, per esempio, a Corte conti, SRC Lombardia, deliberazione n. 1052/2010/PRSE per l’abuso dello strumento societario.</w:t>
      </w:r>
    </w:p>
  </w:footnote>
  <w:footnote w:id="118">
    <w:p w14:paraId="3FD09D2F" w14:textId="48C9B2E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Per gli enti locali, costituenti, statisticamente, </w:t>
      </w:r>
      <w:r w:rsidR="00174A5E" w:rsidRPr="00F65B2D">
        <w:rPr>
          <w:rFonts w:ascii="Times New Roman" w:hAnsi="Times New Roman" w:cs="Times New Roman"/>
          <w:sz w:val="24"/>
          <w:szCs w:val="24"/>
        </w:rPr>
        <w:t xml:space="preserve">le amministrazioni pubbliche </w:t>
      </w:r>
      <w:r w:rsidRPr="00F65B2D">
        <w:rPr>
          <w:rFonts w:ascii="Times New Roman" w:hAnsi="Times New Roman" w:cs="Times New Roman"/>
          <w:sz w:val="24"/>
          <w:szCs w:val="24"/>
        </w:rPr>
        <w:t>detent</w:t>
      </w:r>
      <w:r w:rsidR="00174A5E" w:rsidRPr="00F65B2D">
        <w:rPr>
          <w:rFonts w:ascii="Times New Roman" w:hAnsi="Times New Roman" w:cs="Times New Roman"/>
          <w:sz w:val="24"/>
          <w:szCs w:val="24"/>
        </w:rPr>
        <w:t>rici</w:t>
      </w:r>
      <w:r w:rsidRPr="00F65B2D">
        <w:rPr>
          <w:rFonts w:ascii="Times New Roman" w:hAnsi="Times New Roman" w:cs="Times New Roman"/>
          <w:sz w:val="24"/>
          <w:szCs w:val="24"/>
        </w:rPr>
        <w:t xml:space="preserve"> del maggior numero di partecipazioni societarie, quanto esposto assume maggiore valore nell’</w:t>
      </w:r>
      <w:r w:rsidR="00174A5E" w:rsidRPr="00F65B2D">
        <w:rPr>
          <w:rFonts w:ascii="Times New Roman" w:hAnsi="Times New Roman" w:cs="Times New Roman"/>
          <w:sz w:val="24"/>
          <w:szCs w:val="24"/>
        </w:rPr>
        <w:t>ottica de</w:t>
      </w:r>
      <w:r w:rsidRPr="00F65B2D">
        <w:rPr>
          <w:rFonts w:ascii="Times New Roman" w:hAnsi="Times New Roman" w:cs="Times New Roman"/>
          <w:sz w:val="24"/>
          <w:szCs w:val="24"/>
        </w:rPr>
        <w:t>i doveri imposti dalla riforma dei controlli interni (approvata con il d.l. 174/2012, convertito dalla legge 213/2012). Il novellato art. 147 TUEL prescrive, infatti, che gli enti locali, nell'ambito della propria autonomia organizzativa, individuino strumenti e metodologie per verificare lo stato di attuazione degli indirizzi e degli obiettivi gestionali attribuiti agli organismi gestionali esterni, nonché la loro efficacia, efficienza ed economicità. Il successivo art. 147-</w:t>
      </w:r>
      <w:r w:rsidRPr="00F65B2D">
        <w:rPr>
          <w:rFonts w:ascii="Times New Roman" w:hAnsi="Times New Roman" w:cs="Times New Roman"/>
          <w:i/>
          <w:sz w:val="24"/>
          <w:szCs w:val="24"/>
        </w:rPr>
        <w:t>quater</w:t>
      </w:r>
      <w:r w:rsidRPr="00F65B2D">
        <w:rPr>
          <w:rFonts w:ascii="Times New Roman" w:hAnsi="Times New Roman" w:cs="Times New Roman"/>
          <w:sz w:val="24"/>
          <w:szCs w:val="24"/>
        </w:rPr>
        <w:t xml:space="preserve">, riferito nello specifico alle società partecipate non quotate, specifica </w:t>
      </w:r>
      <w:r w:rsidR="00174A5E" w:rsidRPr="00F65B2D">
        <w:rPr>
          <w:rFonts w:ascii="Times New Roman" w:hAnsi="Times New Roman" w:cs="Times New Roman"/>
          <w:sz w:val="24"/>
          <w:szCs w:val="24"/>
        </w:rPr>
        <w:t xml:space="preserve">il suddetto </w:t>
      </w:r>
      <w:r w:rsidRPr="00F65B2D">
        <w:rPr>
          <w:rFonts w:ascii="Times New Roman" w:hAnsi="Times New Roman" w:cs="Times New Roman"/>
          <w:sz w:val="24"/>
          <w:szCs w:val="24"/>
        </w:rPr>
        <w:t>obbligo, affermando che il sistema dei controlli interni deve permettere di rilevare i rapporti finanziari con la società, la situazione contabile, gestionale e organizzativa di quest’ultima, l’esecuzione dei contratti di servizio, la qualità dei servizi erogati ed il rispetto delle eventuali norme di finanza pubblica</w:t>
      </w:r>
      <w:r w:rsidR="00E9414E">
        <w:rPr>
          <w:rFonts w:ascii="Times New Roman" w:hAnsi="Times New Roman" w:cs="Times New Roman"/>
          <w:sz w:val="24"/>
          <w:szCs w:val="24"/>
        </w:rPr>
        <w:t>. T</w:t>
      </w:r>
      <w:r w:rsidRPr="00F65B2D">
        <w:rPr>
          <w:rFonts w:ascii="Times New Roman" w:hAnsi="Times New Roman" w:cs="Times New Roman"/>
          <w:sz w:val="24"/>
          <w:szCs w:val="24"/>
        </w:rPr>
        <w:t>ale tipologia di controllo interno è divenuta obbligatoria, dal 2015, per gli enti locali con popolazione superiore ai 15.000 abitanti. Tuttavia, il “</w:t>
      </w:r>
      <w:r w:rsidRPr="00B77F74">
        <w:rPr>
          <w:rFonts w:ascii="Times New Roman" w:hAnsi="Times New Roman" w:cs="Times New Roman"/>
          <w:i/>
          <w:iCs/>
          <w:sz w:val="24"/>
          <w:szCs w:val="24"/>
        </w:rPr>
        <w:t>controllo sugli equilibri finanziari</w:t>
      </w:r>
      <w:r w:rsidRPr="00F65B2D">
        <w:rPr>
          <w:rFonts w:ascii="Times New Roman" w:hAnsi="Times New Roman" w:cs="Times New Roman"/>
          <w:sz w:val="24"/>
          <w:szCs w:val="24"/>
        </w:rPr>
        <w:t>”, introdotto dall’art. 147, comma 2, lett. c, del TUEL, e disciplinato dal successivo art. 147-</w:t>
      </w:r>
      <w:r w:rsidRPr="00F65B2D">
        <w:rPr>
          <w:rFonts w:ascii="Times New Roman" w:hAnsi="Times New Roman" w:cs="Times New Roman"/>
          <w:i/>
          <w:sz w:val="24"/>
          <w:szCs w:val="24"/>
        </w:rPr>
        <w:t>quinquies</w:t>
      </w:r>
      <w:r w:rsidRPr="00F65B2D">
        <w:rPr>
          <w:rFonts w:ascii="Times New Roman" w:hAnsi="Times New Roman" w:cs="Times New Roman"/>
          <w:sz w:val="24"/>
          <w:szCs w:val="24"/>
        </w:rPr>
        <w:t>, impone</w:t>
      </w:r>
      <w:r w:rsidR="00174A5E" w:rsidRPr="00F65B2D">
        <w:rPr>
          <w:rFonts w:ascii="Times New Roman" w:hAnsi="Times New Roman" w:cs="Times New Roman"/>
          <w:sz w:val="24"/>
          <w:szCs w:val="24"/>
        </w:rPr>
        <w:t>, comunque,</w:t>
      </w:r>
      <w:r w:rsidRPr="00F65B2D">
        <w:rPr>
          <w:rFonts w:ascii="Times New Roman" w:hAnsi="Times New Roman" w:cs="Times New Roman"/>
          <w:sz w:val="24"/>
          <w:szCs w:val="24"/>
        </w:rPr>
        <w:t xml:space="preserve"> a tutti gli enti locali, a prescindere dalla dimensione demografica, </w:t>
      </w:r>
      <w:r w:rsidR="00174A5E" w:rsidRPr="00F65B2D">
        <w:rPr>
          <w:rFonts w:ascii="Times New Roman" w:hAnsi="Times New Roman" w:cs="Times New Roman"/>
          <w:sz w:val="24"/>
          <w:szCs w:val="24"/>
        </w:rPr>
        <w:t xml:space="preserve">di </w:t>
      </w:r>
      <w:r w:rsidRPr="00F65B2D">
        <w:rPr>
          <w:rFonts w:ascii="Times New Roman" w:hAnsi="Times New Roman" w:cs="Times New Roman"/>
          <w:sz w:val="24"/>
          <w:szCs w:val="24"/>
        </w:rPr>
        <w:t>valuta</w:t>
      </w:r>
      <w:r w:rsidR="00174A5E" w:rsidRPr="00F65B2D">
        <w:rPr>
          <w:rFonts w:ascii="Times New Roman" w:hAnsi="Times New Roman" w:cs="Times New Roman"/>
          <w:sz w:val="24"/>
          <w:szCs w:val="24"/>
        </w:rPr>
        <w:t xml:space="preserve">re </w:t>
      </w:r>
      <w:r w:rsidRPr="00F65B2D">
        <w:rPr>
          <w:rFonts w:ascii="Times New Roman" w:hAnsi="Times New Roman" w:cs="Times New Roman"/>
          <w:sz w:val="24"/>
          <w:szCs w:val="24"/>
        </w:rPr>
        <w:t>gli effetti che si determinano</w:t>
      </w:r>
      <w:r w:rsidR="00174A5E" w:rsidRPr="00F65B2D">
        <w:rPr>
          <w:rFonts w:ascii="Times New Roman" w:hAnsi="Times New Roman" w:cs="Times New Roman"/>
          <w:sz w:val="24"/>
          <w:szCs w:val="24"/>
        </w:rPr>
        <w:t>,</w:t>
      </w:r>
      <w:r w:rsidRPr="00F65B2D">
        <w:rPr>
          <w:rFonts w:ascii="Times New Roman" w:hAnsi="Times New Roman" w:cs="Times New Roman"/>
          <w:sz w:val="24"/>
          <w:szCs w:val="24"/>
        </w:rPr>
        <w:t xml:space="preserve"> sul bilancio finanziario</w:t>
      </w:r>
      <w:r w:rsidR="00174A5E" w:rsidRPr="00F65B2D">
        <w:rPr>
          <w:rFonts w:ascii="Times New Roman" w:hAnsi="Times New Roman" w:cs="Times New Roman"/>
          <w:sz w:val="24"/>
          <w:szCs w:val="24"/>
        </w:rPr>
        <w:t>,</w:t>
      </w:r>
      <w:r w:rsidRPr="00F65B2D">
        <w:rPr>
          <w:rFonts w:ascii="Times New Roman" w:hAnsi="Times New Roman" w:cs="Times New Roman"/>
          <w:sz w:val="24"/>
          <w:szCs w:val="24"/>
        </w:rPr>
        <w:t xml:space="preserve"> dall'andamento economico-finanziario degli organismi gestionali esterni.</w:t>
      </w:r>
    </w:p>
  </w:footnote>
  <w:footnote w:id="119">
    <w:p w14:paraId="41B3D02B" w14:textId="75AA9600"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Le prime esperienze applicative, infatti, hanno evidenziato la necessità di chiarire che l’adempimento dell’obbligo di accantonamento non esime l’ente territoriale dalla dimostrazione, in caso di soccorso finanziario, della presenza di uno specifico e motivato interesse a coltivare la partecipazione nella società in perdita. Occorre sempre valutare, al momento di assumere oneri per la ricapitalizzazione della società in perdita, la capacità della società di tornare in utile (previa presentazione di un congruo e credibile piano industriale), nonché l’economicità e l’efficacia della gestione del servizio tramite il </w:t>
      </w:r>
      <w:r w:rsidR="003C2BE6">
        <w:rPr>
          <w:rFonts w:ascii="Times New Roman" w:hAnsi="Times New Roman" w:cs="Times New Roman"/>
          <w:sz w:val="24"/>
          <w:szCs w:val="24"/>
        </w:rPr>
        <w:t>ri</w:t>
      </w:r>
      <w:r w:rsidRPr="00F65B2D">
        <w:rPr>
          <w:rFonts w:ascii="Times New Roman" w:hAnsi="Times New Roman" w:cs="Times New Roman"/>
          <w:sz w:val="24"/>
          <w:szCs w:val="24"/>
        </w:rPr>
        <w:t>detto organismo, pena, in difetto, la preferenza dell’opzione dello scioglimento della società, a norma dell’art. 2484 cod. civ. (può farsi rinvio, per esempio, a Corte dei conti, SRC Liguria, deliberazione n. 19/2016/PRSE; SRC Lombardia, deliberazioni n. 269/2015/PRSE, n. 15/2015/PRSE e n. 410/2016/PRSE, ed alla numerosa giurisprudenza ivi richiamata. In termini, Sezione delle Autonomie, deliberazione n. 9/2016/INPR).</w:t>
      </w:r>
    </w:p>
  </w:footnote>
  <w:footnote w:id="120">
    <w:p w14:paraId="67FA8E46" w14:textId="21A91D4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Solo per fare un esempio, può farsi rinvio a Corte dei conti, SRC Liguria, deliberazione n. 24/2017/PAR (ed alla giurisprudenza da quest’ultima richiamata).</w:t>
      </w:r>
    </w:p>
  </w:footnote>
  <w:footnote w:id="121">
    <w:p w14:paraId="57C14F60" w14:textId="3CD52EC8"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E, già in precedenza, art. 6, comma 19, del d.l. n. 78/2010, convertito dalla legge n. 122/2010.</w:t>
      </w:r>
    </w:p>
  </w:footnote>
  <w:footnote w:id="122">
    <w:p w14:paraId="274E9A06" w14:textId="7CE3E8F6"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L’art. 14, comma 5, del d.lgs. n. 175/2016, dopo aver disposto che </w:t>
      </w:r>
      <w:bookmarkStart w:id="12" w:name="_Hlk532479604"/>
      <w:r w:rsidRPr="00F65B2D">
        <w:rPr>
          <w:rFonts w:ascii="Times New Roman" w:hAnsi="Times New Roman" w:cs="Times New Roman"/>
          <w:sz w:val="24"/>
          <w:szCs w:val="24"/>
        </w:rPr>
        <w:t xml:space="preserve">le amministrazioni pubbliche incluse nel c.d. elenco ISTAT (art. </w:t>
      </w:r>
      <w:hyperlink r:id="rId1" w:anchor="id=10LX0000654083ART16,__m=document" w:history="1">
        <w:r w:rsidRPr="00F65B2D">
          <w:rPr>
            <w:rFonts w:ascii="Times New Roman" w:hAnsi="Times New Roman" w:cs="Times New Roman"/>
            <w:sz w:val="24"/>
            <w:szCs w:val="24"/>
          </w:rPr>
          <w:t>1, comma 3</w:t>
        </w:r>
      </w:hyperlink>
      <w:r w:rsidRPr="00F65B2D">
        <w:rPr>
          <w:rFonts w:ascii="Times New Roman" w:hAnsi="Times New Roman" w:cs="Times New Roman"/>
          <w:sz w:val="24"/>
          <w:szCs w:val="24"/>
        </w:rPr>
        <w:t xml:space="preserve">, </w:t>
      </w:r>
      <w:hyperlink r:id="rId2" w:anchor="id=10LX0000654083ART0,__m=document" w:history="1">
        <w:r w:rsidRPr="00F65B2D">
          <w:rPr>
            <w:rFonts w:ascii="Times New Roman" w:hAnsi="Times New Roman" w:cs="Times New Roman"/>
            <w:sz w:val="24"/>
            <w:szCs w:val="24"/>
          </w:rPr>
          <w:t>legge n. 196</w:t>
        </w:r>
      </w:hyperlink>
      <w:r w:rsidRPr="00F65B2D">
        <w:rPr>
          <w:rFonts w:ascii="Times New Roman" w:hAnsi="Times New Roman" w:cs="Times New Roman"/>
          <w:sz w:val="24"/>
          <w:szCs w:val="24"/>
        </w:rPr>
        <w:t xml:space="preserve">/2009), non possono (salvo quanto previsto dagli </w:t>
      </w:r>
      <w:hyperlink r:id="rId3" w:anchor="id=05AC00001672,__m=document" w:history="1">
        <w:r w:rsidRPr="00F65B2D">
          <w:rPr>
            <w:rFonts w:ascii="Times New Roman" w:hAnsi="Times New Roman" w:cs="Times New Roman"/>
            <w:sz w:val="24"/>
            <w:szCs w:val="24"/>
          </w:rPr>
          <w:t>articoli 2447</w:t>
        </w:r>
      </w:hyperlink>
      <w:r w:rsidRPr="00F65B2D">
        <w:rPr>
          <w:rFonts w:ascii="Times New Roman" w:hAnsi="Times New Roman" w:cs="Times New Roman"/>
          <w:sz w:val="24"/>
          <w:szCs w:val="24"/>
        </w:rPr>
        <w:t xml:space="preserve"> e </w:t>
      </w:r>
      <w:hyperlink r:id="rId4" w:anchor="id=05AC00011505,__m=document" w:history="1">
        <w:r w:rsidRPr="00F65B2D">
          <w:rPr>
            <w:rFonts w:ascii="Times New Roman" w:hAnsi="Times New Roman" w:cs="Times New Roman"/>
            <w:sz w:val="24"/>
            <w:szCs w:val="24"/>
          </w:rPr>
          <w:t>2482-ter del codice civile</w:t>
        </w:r>
      </w:hyperlink>
      <w:r w:rsidRPr="00F65B2D">
        <w:rPr>
          <w:rFonts w:ascii="Times New Roman" w:hAnsi="Times New Roman" w:cs="Times New Roman"/>
          <w:sz w:val="24"/>
          <w:szCs w:val="24"/>
        </w:rPr>
        <w:t>, in caso di riduzione del capitale sociale al di sotto del limite legale) sottoscrivere aumenti di capitale, effettuare trasferimenti straordinari, aperture di credito, né rilasciare garanzie a favore delle società partecipate (con esclusione delle quotate e degli istituti di credito), che abbiano registrato perdite per tre esercizi consecutivi (ovvero che abbiano utilizzato riserve disponibili per il ripianamento di perdite anche infrannuali</w:t>
      </w:r>
      <w:bookmarkEnd w:id="12"/>
      <w:r w:rsidRPr="00F65B2D">
        <w:rPr>
          <w:rFonts w:ascii="Times New Roman" w:hAnsi="Times New Roman" w:cs="Times New Roman"/>
          <w:sz w:val="24"/>
          <w:szCs w:val="24"/>
        </w:rPr>
        <w:t xml:space="preserve">), consente, </w:t>
      </w:r>
      <w:bookmarkStart w:id="13" w:name="_Hlk532471293"/>
      <w:r w:rsidRPr="00F65B2D">
        <w:rPr>
          <w:rFonts w:ascii="Times New Roman" w:hAnsi="Times New Roman" w:cs="Times New Roman"/>
          <w:sz w:val="24"/>
          <w:szCs w:val="24"/>
        </w:rPr>
        <w:t>in ogni caso, i ridetti trasferimenti straordinari, a fronte di convenzioni, contratti di servizio o di programma (finalizzati allo svolgimento di servizi di pubblico interesse o alla realizzazione di investimenti), purché le misure indicate siano contemplate in un piano di risanamento, approvato dall'Autorità di regolazione di settore ove esistente e comunicato alla Corte dei conti (con le modalità di cui al precedente art. 5 TUSP), che contempli il raggiungimento dell'equilibrio finanziario entro tre anni. Inoltre, al fine di salvaguardare la continuità nella prestazione di servizi di pubblico interesse, a fronte di gravi pericoli per la sicurezza pubblica, l'ordine pubblico e la sanità, il “</w:t>
      </w:r>
      <w:r w:rsidRPr="00061E8D">
        <w:rPr>
          <w:rFonts w:ascii="Times New Roman" w:hAnsi="Times New Roman" w:cs="Times New Roman"/>
          <w:i/>
          <w:iCs/>
          <w:sz w:val="24"/>
          <w:szCs w:val="24"/>
        </w:rPr>
        <w:t>soccorso finanziario</w:t>
      </w:r>
      <w:r w:rsidRPr="00F65B2D">
        <w:rPr>
          <w:rFonts w:ascii="Times New Roman" w:hAnsi="Times New Roman" w:cs="Times New Roman"/>
          <w:sz w:val="24"/>
          <w:szCs w:val="24"/>
        </w:rPr>
        <w:t>” può essere autorizzato</w:t>
      </w:r>
      <w:r w:rsidR="00F65B2D" w:rsidRPr="00F65B2D">
        <w:rPr>
          <w:rFonts w:ascii="Times New Roman" w:hAnsi="Times New Roman" w:cs="Times New Roman"/>
          <w:sz w:val="24"/>
          <w:szCs w:val="24"/>
        </w:rPr>
        <w:t>, su richiesta della amministrazione interessata,</w:t>
      </w:r>
      <w:r w:rsidRPr="00F65B2D">
        <w:rPr>
          <w:rFonts w:ascii="Times New Roman" w:hAnsi="Times New Roman" w:cs="Times New Roman"/>
          <w:sz w:val="24"/>
          <w:szCs w:val="24"/>
        </w:rPr>
        <w:t xml:space="preserve"> con decreto del Presidente del Consiglio dei ministri, adottato su proposta del Ministro dell'economia e delle finanze, di concerto con gli altri </w:t>
      </w:r>
      <w:r w:rsidR="00F65B2D" w:rsidRPr="00F65B2D">
        <w:rPr>
          <w:rFonts w:ascii="Times New Roman" w:hAnsi="Times New Roman" w:cs="Times New Roman"/>
          <w:sz w:val="24"/>
          <w:szCs w:val="24"/>
        </w:rPr>
        <w:t>m</w:t>
      </w:r>
      <w:r w:rsidRPr="00F65B2D">
        <w:rPr>
          <w:rFonts w:ascii="Times New Roman" w:hAnsi="Times New Roman" w:cs="Times New Roman"/>
          <w:sz w:val="24"/>
          <w:szCs w:val="24"/>
        </w:rPr>
        <w:t>inistri competenti, soggetto a registrazione della Corte dei conti.</w:t>
      </w:r>
      <w:bookmarkEnd w:id="13"/>
    </w:p>
  </w:footnote>
  <w:footnote w:id="123">
    <w:p w14:paraId="6D942C45" w14:textId="53FA674E"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O anche altro ente pubblico, che, pur non essendovi obbligato, abbia accantonato, nel proprio bilancio, delle risorse a copertura delle perdite di proprie società partecipate o enti strumentali (sulla falsariga di quanto disposto, come detto, per le sole “</w:t>
      </w:r>
      <w:r w:rsidRPr="00294F80">
        <w:rPr>
          <w:rFonts w:ascii="Times New Roman" w:hAnsi="Times New Roman" w:cs="Times New Roman"/>
          <w:i/>
          <w:iCs/>
          <w:sz w:val="24"/>
          <w:szCs w:val="24"/>
        </w:rPr>
        <w:t>amministrazioni locali</w:t>
      </w:r>
      <w:r w:rsidRPr="00F65B2D">
        <w:rPr>
          <w:rFonts w:ascii="Times New Roman" w:hAnsi="Times New Roman" w:cs="Times New Roman"/>
          <w:sz w:val="24"/>
          <w:szCs w:val="24"/>
        </w:rPr>
        <w:t>” di cui al c.d. elenco ISTAT, dall’art. 21 del d.lgs. n. 175</w:t>
      </w:r>
      <w:r w:rsidR="00105B39">
        <w:rPr>
          <w:rFonts w:ascii="Times New Roman" w:hAnsi="Times New Roman" w:cs="Times New Roman"/>
          <w:sz w:val="24"/>
          <w:szCs w:val="24"/>
        </w:rPr>
        <w:t>/</w:t>
      </w:r>
      <w:r w:rsidRPr="00F65B2D">
        <w:rPr>
          <w:rFonts w:ascii="Times New Roman" w:hAnsi="Times New Roman" w:cs="Times New Roman"/>
          <w:sz w:val="24"/>
          <w:szCs w:val="24"/>
        </w:rPr>
        <w:t xml:space="preserve">2016 e dall’art. 1, commi 551 e </w:t>
      </w:r>
      <w:proofErr w:type="spellStart"/>
      <w:r w:rsidRPr="00F65B2D">
        <w:rPr>
          <w:rFonts w:ascii="Times New Roman" w:hAnsi="Times New Roman" w:cs="Times New Roman"/>
          <w:sz w:val="24"/>
          <w:szCs w:val="24"/>
        </w:rPr>
        <w:t>s</w:t>
      </w:r>
      <w:r w:rsidR="00105B39">
        <w:rPr>
          <w:rFonts w:ascii="Times New Roman" w:hAnsi="Times New Roman" w:cs="Times New Roman"/>
          <w:sz w:val="24"/>
          <w:szCs w:val="24"/>
        </w:rPr>
        <w:t>s</w:t>
      </w:r>
      <w:proofErr w:type="spellEnd"/>
      <w:r w:rsidRPr="00F65B2D">
        <w:rPr>
          <w:rFonts w:ascii="Times New Roman" w:hAnsi="Times New Roman" w:cs="Times New Roman"/>
          <w:sz w:val="24"/>
          <w:szCs w:val="24"/>
        </w:rPr>
        <w:t>, della legge n. 147/2013).</w:t>
      </w:r>
    </w:p>
  </w:footnote>
  <w:footnote w:id="124">
    <w:p w14:paraId="07D751B7" w14:textId="164459FC"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Espletata mediante uffici e personale interno.</w:t>
      </w:r>
    </w:p>
  </w:footnote>
  <w:footnote w:id="125">
    <w:p w14:paraId="1E8C65FE" w14:textId="2DAAC2CA"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Affidata ad operatori economici privati individuati previa gara.</w:t>
      </w:r>
    </w:p>
  </w:footnote>
  <w:footnote w:id="126">
    <w:p w14:paraId="02B1FA87" w14:textId="2F2B3911"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Al fine di evitare che il creditore agisca, per l’escussione, anche, o esclusivamente, nei confronti dell’ente pubblico socio (cfr., per esempio, per il contratto di fideiussione, gli artt. 1936, e seguenti, del </w:t>
      </w:r>
      <w:proofErr w:type="gramStart"/>
      <w:r w:rsidRPr="00F65B2D">
        <w:rPr>
          <w:rFonts w:ascii="Times New Roman" w:hAnsi="Times New Roman" w:cs="Times New Roman"/>
          <w:sz w:val="24"/>
          <w:szCs w:val="24"/>
        </w:rPr>
        <w:t>codice civile</w:t>
      </w:r>
      <w:proofErr w:type="gramEnd"/>
      <w:r w:rsidRPr="00F65B2D">
        <w:rPr>
          <w:rFonts w:ascii="Times New Roman" w:hAnsi="Times New Roman" w:cs="Times New Roman"/>
          <w:sz w:val="24"/>
          <w:szCs w:val="24"/>
        </w:rPr>
        <w:t>).</w:t>
      </w:r>
    </w:p>
  </w:footnote>
  <w:footnote w:id="127">
    <w:p w14:paraId="7AE46282" w14:textId="3125832B"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pensi agli autobus necessari all’espletamento del servizio di trasporto pubblico locale o, anche, a beni immobili strumentali all’erogazione del servizio di asilo nido (vari sono gli esempi desumibili dall’analisi della giurisprudenza contabile, per tutti può farsi rinvio a Corte dei conti, SRC Lombardia, deliberazioni n. 530/2012/PRSE, n. 537/2013/PRSP, n. 269/2015/PRSP). </w:t>
      </w:r>
    </w:p>
  </w:footnote>
  <w:footnote w:id="128">
    <w:p w14:paraId="360D153D" w14:textId="410ACCDA"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Può farsi rinvio, per maggiori approfondimenti in merito, a Corte dei conti, SRC Piemonte, deliberazione n. 48/2017/PAR.</w:t>
      </w:r>
    </w:p>
  </w:footnote>
  <w:footnote w:id="129">
    <w:p w14:paraId="7CC7E9B0" w14:textId="5CD73922"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Inserito dall’art. 14 del decreto legislativo correttivo n. 100/2017.</w:t>
      </w:r>
    </w:p>
  </w:footnote>
  <w:footnote w:id="130">
    <w:p w14:paraId="3F9C5445" w14:textId="623FF0C6" w:rsidR="00556BCB" w:rsidRDefault="00556BCB" w:rsidP="00992AFB">
      <w:pPr>
        <w:pStyle w:val="Testonotaapidipagina"/>
        <w:jc w:val="both"/>
      </w:pPr>
      <w:r>
        <w:rPr>
          <w:rStyle w:val="Rimandonotaapidipagina"/>
        </w:rPr>
        <w:footnoteRef/>
      </w:r>
      <w:r w:rsidR="00992AFB">
        <w:rPr>
          <w:rFonts w:ascii="Times New Roman" w:hAnsi="Times New Roman" w:cs="Times New Roman"/>
          <w:sz w:val="24"/>
          <w:szCs w:val="24"/>
        </w:rPr>
        <w:t xml:space="preserve"> </w:t>
      </w:r>
      <w:r w:rsidR="000E36DB" w:rsidRPr="00992AFB">
        <w:rPr>
          <w:rFonts w:ascii="Times New Roman" w:hAnsi="Times New Roman" w:cs="Times New Roman"/>
          <w:sz w:val="24"/>
          <w:szCs w:val="24"/>
        </w:rPr>
        <w:t xml:space="preserve">Cfr. C. conti, SRC Liguria, deliberazione </w:t>
      </w:r>
      <w:r w:rsidR="00992AFB" w:rsidRPr="00992AFB">
        <w:rPr>
          <w:rFonts w:ascii="Times New Roman" w:hAnsi="Times New Roman" w:cs="Times New Roman"/>
          <w:sz w:val="24"/>
          <w:szCs w:val="24"/>
        </w:rPr>
        <w:t>n. 127/2018/PAR.</w:t>
      </w:r>
    </w:p>
  </w:footnote>
  <w:footnote w:id="131">
    <w:p w14:paraId="43EC9C0B" w14:textId="7AC915A9" w:rsidR="009C29FD" w:rsidRPr="00F65B2D" w:rsidRDefault="009C29FD" w:rsidP="00F65B2D">
      <w:pPr>
        <w:pStyle w:val="Testonotaapidipagina"/>
        <w:jc w:val="both"/>
        <w:rPr>
          <w:rFonts w:ascii="Times New Roman" w:hAnsi="Times New Roman" w:cs="Times New Roman"/>
          <w:sz w:val="24"/>
          <w:szCs w:val="24"/>
        </w:rPr>
      </w:pPr>
      <w:r w:rsidRPr="00F65B2D">
        <w:rPr>
          <w:rStyle w:val="Rimandonotaapidipagina"/>
          <w:rFonts w:ascii="Times New Roman" w:hAnsi="Times New Roman" w:cs="Times New Roman"/>
          <w:sz w:val="24"/>
          <w:szCs w:val="24"/>
        </w:rPr>
        <w:footnoteRef/>
      </w:r>
      <w:r w:rsidRPr="00F65B2D">
        <w:rPr>
          <w:rFonts w:ascii="Times New Roman" w:hAnsi="Times New Roman" w:cs="Times New Roman"/>
          <w:sz w:val="24"/>
          <w:szCs w:val="24"/>
        </w:rPr>
        <w:t xml:space="preserve"> Si tratta di una limitazione rispondente alle regole poste dall’ordinamento europeo che vietano ai soggetti che operano sul mercato (anche se società interamente partecipate da enti pubblici) di fruire di diritti speciali o esclusivi ovvero di beneficiare di altre forme di aiuto pubblico in grado di alterare </w:t>
      </w:r>
      <w:bookmarkStart w:id="14" w:name="_GoBack"/>
      <w:bookmarkEnd w:id="14"/>
      <w:r w:rsidRPr="00F65B2D">
        <w:rPr>
          <w:rFonts w:ascii="Times New Roman" w:hAnsi="Times New Roman" w:cs="Times New Roman"/>
          <w:sz w:val="24"/>
          <w:szCs w:val="24"/>
        </w:rPr>
        <w:t>la normale esplicazione dei meccanismi di concorrenza nel mercato (si rinvia, in particolare, alla disciplina dettata dall’art. 107, paragrafo 1, del Trattato sul funzionamento dell’Unione europea, nonché alla successiva disciplina attuativa, contenuta in vari regolamenti e direttive).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4221F"/>
    <w:multiLevelType w:val="hybridMultilevel"/>
    <w:tmpl w:val="8248AB5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F1"/>
    <w:rsid w:val="00025844"/>
    <w:rsid w:val="0003157A"/>
    <w:rsid w:val="0004231E"/>
    <w:rsid w:val="00045D08"/>
    <w:rsid w:val="00050007"/>
    <w:rsid w:val="00061E8D"/>
    <w:rsid w:val="0007358E"/>
    <w:rsid w:val="0007672F"/>
    <w:rsid w:val="00076DD7"/>
    <w:rsid w:val="00092153"/>
    <w:rsid w:val="00095E8B"/>
    <w:rsid w:val="00097BF8"/>
    <w:rsid w:val="000A0F8D"/>
    <w:rsid w:val="000C2FAE"/>
    <w:rsid w:val="000D2B03"/>
    <w:rsid w:val="000D409D"/>
    <w:rsid w:val="000E207D"/>
    <w:rsid w:val="000E3603"/>
    <w:rsid w:val="000E36DB"/>
    <w:rsid w:val="000E3996"/>
    <w:rsid w:val="000E690D"/>
    <w:rsid w:val="000E7B6D"/>
    <w:rsid w:val="000F05E2"/>
    <w:rsid w:val="00105B39"/>
    <w:rsid w:val="00106390"/>
    <w:rsid w:val="00110AFC"/>
    <w:rsid w:val="00111CC6"/>
    <w:rsid w:val="00111F44"/>
    <w:rsid w:val="00134327"/>
    <w:rsid w:val="00155AAB"/>
    <w:rsid w:val="00161805"/>
    <w:rsid w:val="00171FFB"/>
    <w:rsid w:val="001746F6"/>
    <w:rsid w:val="00174A5E"/>
    <w:rsid w:val="00174B17"/>
    <w:rsid w:val="001773D4"/>
    <w:rsid w:val="00183822"/>
    <w:rsid w:val="001A0617"/>
    <w:rsid w:val="001A2178"/>
    <w:rsid w:val="001A69A6"/>
    <w:rsid w:val="001A7AE5"/>
    <w:rsid w:val="001B17F8"/>
    <w:rsid w:val="001B5BC8"/>
    <w:rsid w:val="001C2D56"/>
    <w:rsid w:val="001C6782"/>
    <w:rsid w:val="001D3286"/>
    <w:rsid w:val="001D3B37"/>
    <w:rsid w:val="001D4853"/>
    <w:rsid w:val="001E1472"/>
    <w:rsid w:val="001F17E9"/>
    <w:rsid w:val="001F6C8D"/>
    <w:rsid w:val="00203CFA"/>
    <w:rsid w:val="00205D45"/>
    <w:rsid w:val="00213103"/>
    <w:rsid w:val="00214EE9"/>
    <w:rsid w:val="00226506"/>
    <w:rsid w:val="00230C94"/>
    <w:rsid w:val="00246FBF"/>
    <w:rsid w:val="00247209"/>
    <w:rsid w:val="00255F7C"/>
    <w:rsid w:val="00260C60"/>
    <w:rsid w:val="002636BF"/>
    <w:rsid w:val="00282252"/>
    <w:rsid w:val="0028307E"/>
    <w:rsid w:val="00283425"/>
    <w:rsid w:val="00294F80"/>
    <w:rsid w:val="00295F54"/>
    <w:rsid w:val="002971B4"/>
    <w:rsid w:val="002A4FDA"/>
    <w:rsid w:val="002A5CE3"/>
    <w:rsid w:val="002A7864"/>
    <w:rsid w:val="002B13A1"/>
    <w:rsid w:val="002C2F70"/>
    <w:rsid w:val="002C33C0"/>
    <w:rsid w:val="002C7EAF"/>
    <w:rsid w:val="002D1A4A"/>
    <w:rsid w:val="002D577C"/>
    <w:rsid w:val="002F3C10"/>
    <w:rsid w:val="002F4238"/>
    <w:rsid w:val="0030139B"/>
    <w:rsid w:val="003016D1"/>
    <w:rsid w:val="00301B88"/>
    <w:rsid w:val="00304FD5"/>
    <w:rsid w:val="00314DF7"/>
    <w:rsid w:val="00321C0F"/>
    <w:rsid w:val="003254FA"/>
    <w:rsid w:val="0034269D"/>
    <w:rsid w:val="003444AC"/>
    <w:rsid w:val="003455B8"/>
    <w:rsid w:val="00345832"/>
    <w:rsid w:val="003509A8"/>
    <w:rsid w:val="00350ABF"/>
    <w:rsid w:val="00356BA1"/>
    <w:rsid w:val="00361458"/>
    <w:rsid w:val="00361EE8"/>
    <w:rsid w:val="00374567"/>
    <w:rsid w:val="0038436F"/>
    <w:rsid w:val="00384957"/>
    <w:rsid w:val="00384F25"/>
    <w:rsid w:val="00391AB9"/>
    <w:rsid w:val="003949AF"/>
    <w:rsid w:val="003A2E36"/>
    <w:rsid w:val="003B78CD"/>
    <w:rsid w:val="003C2BE6"/>
    <w:rsid w:val="003C32AE"/>
    <w:rsid w:val="003C527F"/>
    <w:rsid w:val="003C57BA"/>
    <w:rsid w:val="003D47E7"/>
    <w:rsid w:val="003D5C2F"/>
    <w:rsid w:val="003D7F15"/>
    <w:rsid w:val="003E32E0"/>
    <w:rsid w:val="004018F3"/>
    <w:rsid w:val="004030AC"/>
    <w:rsid w:val="0041148C"/>
    <w:rsid w:val="00412CE0"/>
    <w:rsid w:val="004162DD"/>
    <w:rsid w:val="00421567"/>
    <w:rsid w:val="00430168"/>
    <w:rsid w:val="004434CD"/>
    <w:rsid w:val="004454DC"/>
    <w:rsid w:val="00446B7E"/>
    <w:rsid w:val="00450406"/>
    <w:rsid w:val="00473E77"/>
    <w:rsid w:val="004955FF"/>
    <w:rsid w:val="004962D1"/>
    <w:rsid w:val="00496B0C"/>
    <w:rsid w:val="004A3E01"/>
    <w:rsid w:val="004A5001"/>
    <w:rsid w:val="004C0684"/>
    <w:rsid w:val="004C5BF6"/>
    <w:rsid w:val="004D7EC9"/>
    <w:rsid w:val="004E0546"/>
    <w:rsid w:val="004F0347"/>
    <w:rsid w:val="004F51B1"/>
    <w:rsid w:val="00513969"/>
    <w:rsid w:val="0051561E"/>
    <w:rsid w:val="00516D8D"/>
    <w:rsid w:val="005175E7"/>
    <w:rsid w:val="005249C3"/>
    <w:rsid w:val="005324B4"/>
    <w:rsid w:val="00540909"/>
    <w:rsid w:val="005515B8"/>
    <w:rsid w:val="005556D6"/>
    <w:rsid w:val="00556BCB"/>
    <w:rsid w:val="00562A50"/>
    <w:rsid w:val="005834B3"/>
    <w:rsid w:val="00585FC7"/>
    <w:rsid w:val="00593944"/>
    <w:rsid w:val="00593E14"/>
    <w:rsid w:val="0059555A"/>
    <w:rsid w:val="00597699"/>
    <w:rsid w:val="005A0745"/>
    <w:rsid w:val="005A4512"/>
    <w:rsid w:val="005B02B0"/>
    <w:rsid w:val="005B470D"/>
    <w:rsid w:val="005B5844"/>
    <w:rsid w:val="005B6AAC"/>
    <w:rsid w:val="005C2E3B"/>
    <w:rsid w:val="005C39D0"/>
    <w:rsid w:val="005D0E84"/>
    <w:rsid w:val="005D14E0"/>
    <w:rsid w:val="005D7246"/>
    <w:rsid w:val="005E5C75"/>
    <w:rsid w:val="00605231"/>
    <w:rsid w:val="006058BF"/>
    <w:rsid w:val="00625360"/>
    <w:rsid w:val="006309F9"/>
    <w:rsid w:val="00636450"/>
    <w:rsid w:val="0064039E"/>
    <w:rsid w:val="0065352F"/>
    <w:rsid w:val="00653FD3"/>
    <w:rsid w:val="0066113B"/>
    <w:rsid w:val="006723B6"/>
    <w:rsid w:val="00680790"/>
    <w:rsid w:val="00685633"/>
    <w:rsid w:val="00691547"/>
    <w:rsid w:val="006976F8"/>
    <w:rsid w:val="006B0E21"/>
    <w:rsid w:val="006B5353"/>
    <w:rsid w:val="006C3BD4"/>
    <w:rsid w:val="006D0888"/>
    <w:rsid w:val="006D4C8A"/>
    <w:rsid w:val="006D6B7E"/>
    <w:rsid w:val="006E1E3E"/>
    <w:rsid w:val="006E62D0"/>
    <w:rsid w:val="006E6A91"/>
    <w:rsid w:val="00701A9F"/>
    <w:rsid w:val="00713851"/>
    <w:rsid w:val="007165D1"/>
    <w:rsid w:val="00721EBB"/>
    <w:rsid w:val="007269D2"/>
    <w:rsid w:val="0073496E"/>
    <w:rsid w:val="00736F3E"/>
    <w:rsid w:val="00737632"/>
    <w:rsid w:val="00737E14"/>
    <w:rsid w:val="00742698"/>
    <w:rsid w:val="007468E4"/>
    <w:rsid w:val="00755DAC"/>
    <w:rsid w:val="00756006"/>
    <w:rsid w:val="00763468"/>
    <w:rsid w:val="00763522"/>
    <w:rsid w:val="00765912"/>
    <w:rsid w:val="007672EA"/>
    <w:rsid w:val="007766AB"/>
    <w:rsid w:val="00796741"/>
    <w:rsid w:val="007B12C7"/>
    <w:rsid w:val="007B3EB3"/>
    <w:rsid w:val="007B692A"/>
    <w:rsid w:val="007E2221"/>
    <w:rsid w:val="007E50E3"/>
    <w:rsid w:val="007F3A97"/>
    <w:rsid w:val="007F3F73"/>
    <w:rsid w:val="007F4090"/>
    <w:rsid w:val="00805599"/>
    <w:rsid w:val="00805989"/>
    <w:rsid w:val="008137A4"/>
    <w:rsid w:val="00831C9C"/>
    <w:rsid w:val="00837177"/>
    <w:rsid w:val="0084709F"/>
    <w:rsid w:val="008564C0"/>
    <w:rsid w:val="0086432F"/>
    <w:rsid w:val="0087384A"/>
    <w:rsid w:val="008945BD"/>
    <w:rsid w:val="008A0361"/>
    <w:rsid w:val="008B0473"/>
    <w:rsid w:val="008B200A"/>
    <w:rsid w:val="008B51FD"/>
    <w:rsid w:val="008C05DB"/>
    <w:rsid w:val="008C273E"/>
    <w:rsid w:val="008C6715"/>
    <w:rsid w:val="008D6E5F"/>
    <w:rsid w:val="008E0E93"/>
    <w:rsid w:val="008E792B"/>
    <w:rsid w:val="008F116D"/>
    <w:rsid w:val="008F1AB2"/>
    <w:rsid w:val="00902DFC"/>
    <w:rsid w:val="0090395C"/>
    <w:rsid w:val="009043F5"/>
    <w:rsid w:val="00913C3F"/>
    <w:rsid w:val="00913D11"/>
    <w:rsid w:val="00922DD3"/>
    <w:rsid w:val="00937067"/>
    <w:rsid w:val="00950700"/>
    <w:rsid w:val="0096256B"/>
    <w:rsid w:val="009647F8"/>
    <w:rsid w:val="00970E2C"/>
    <w:rsid w:val="00971D41"/>
    <w:rsid w:val="00971EF1"/>
    <w:rsid w:val="00976498"/>
    <w:rsid w:val="00991E5F"/>
    <w:rsid w:val="00992AFB"/>
    <w:rsid w:val="00994308"/>
    <w:rsid w:val="009A42AA"/>
    <w:rsid w:val="009A52D6"/>
    <w:rsid w:val="009B2FBE"/>
    <w:rsid w:val="009C29FD"/>
    <w:rsid w:val="009D2947"/>
    <w:rsid w:val="009D450A"/>
    <w:rsid w:val="00A0585B"/>
    <w:rsid w:val="00A0589A"/>
    <w:rsid w:val="00A34599"/>
    <w:rsid w:val="00A35483"/>
    <w:rsid w:val="00A47B57"/>
    <w:rsid w:val="00A5115D"/>
    <w:rsid w:val="00A56E0A"/>
    <w:rsid w:val="00A634C0"/>
    <w:rsid w:val="00A94B0B"/>
    <w:rsid w:val="00AA257B"/>
    <w:rsid w:val="00AA513F"/>
    <w:rsid w:val="00AA578E"/>
    <w:rsid w:val="00AB34F3"/>
    <w:rsid w:val="00AC17E3"/>
    <w:rsid w:val="00AC1942"/>
    <w:rsid w:val="00AC2AAB"/>
    <w:rsid w:val="00AC5331"/>
    <w:rsid w:val="00AE4C85"/>
    <w:rsid w:val="00AF2BCA"/>
    <w:rsid w:val="00AF6E5F"/>
    <w:rsid w:val="00B13AFF"/>
    <w:rsid w:val="00B15F0F"/>
    <w:rsid w:val="00B173E3"/>
    <w:rsid w:val="00B4268C"/>
    <w:rsid w:val="00B43310"/>
    <w:rsid w:val="00B51276"/>
    <w:rsid w:val="00B53B75"/>
    <w:rsid w:val="00B54ABA"/>
    <w:rsid w:val="00B56A53"/>
    <w:rsid w:val="00B56CC0"/>
    <w:rsid w:val="00B6051B"/>
    <w:rsid w:val="00B65BA8"/>
    <w:rsid w:val="00B66952"/>
    <w:rsid w:val="00B75B94"/>
    <w:rsid w:val="00B77F74"/>
    <w:rsid w:val="00B839C5"/>
    <w:rsid w:val="00B863ED"/>
    <w:rsid w:val="00B929B8"/>
    <w:rsid w:val="00B9686F"/>
    <w:rsid w:val="00B96ED7"/>
    <w:rsid w:val="00BA1C73"/>
    <w:rsid w:val="00BB78C4"/>
    <w:rsid w:val="00BB7E21"/>
    <w:rsid w:val="00BC7CD0"/>
    <w:rsid w:val="00BD1DF7"/>
    <w:rsid w:val="00BF0186"/>
    <w:rsid w:val="00BF5513"/>
    <w:rsid w:val="00C1706B"/>
    <w:rsid w:val="00C21656"/>
    <w:rsid w:val="00C251A1"/>
    <w:rsid w:val="00C43D9B"/>
    <w:rsid w:val="00C62821"/>
    <w:rsid w:val="00C74AA3"/>
    <w:rsid w:val="00CC2E36"/>
    <w:rsid w:val="00CC51CA"/>
    <w:rsid w:val="00CD54A2"/>
    <w:rsid w:val="00CD71AC"/>
    <w:rsid w:val="00CE448B"/>
    <w:rsid w:val="00D07D9C"/>
    <w:rsid w:val="00D13630"/>
    <w:rsid w:val="00D14198"/>
    <w:rsid w:val="00D20544"/>
    <w:rsid w:val="00D30CA5"/>
    <w:rsid w:val="00D57173"/>
    <w:rsid w:val="00D70DA5"/>
    <w:rsid w:val="00D958A0"/>
    <w:rsid w:val="00DB1B73"/>
    <w:rsid w:val="00DB1CD6"/>
    <w:rsid w:val="00DB72F6"/>
    <w:rsid w:val="00DD69D1"/>
    <w:rsid w:val="00DE60B1"/>
    <w:rsid w:val="00E011B3"/>
    <w:rsid w:val="00E11A0A"/>
    <w:rsid w:val="00E374D8"/>
    <w:rsid w:val="00E429F4"/>
    <w:rsid w:val="00E43B26"/>
    <w:rsid w:val="00E5719B"/>
    <w:rsid w:val="00E639A1"/>
    <w:rsid w:val="00E74983"/>
    <w:rsid w:val="00E80815"/>
    <w:rsid w:val="00E858F0"/>
    <w:rsid w:val="00E9414E"/>
    <w:rsid w:val="00E9417F"/>
    <w:rsid w:val="00EA4DAA"/>
    <w:rsid w:val="00EA729F"/>
    <w:rsid w:val="00EB47DB"/>
    <w:rsid w:val="00EE42EF"/>
    <w:rsid w:val="00EE5281"/>
    <w:rsid w:val="00EE5D74"/>
    <w:rsid w:val="00EE7ED5"/>
    <w:rsid w:val="00EF75FB"/>
    <w:rsid w:val="00F02787"/>
    <w:rsid w:val="00F03B07"/>
    <w:rsid w:val="00F04651"/>
    <w:rsid w:val="00F17878"/>
    <w:rsid w:val="00F26F47"/>
    <w:rsid w:val="00F41DBA"/>
    <w:rsid w:val="00F42698"/>
    <w:rsid w:val="00F5214F"/>
    <w:rsid w:val="00F56A7E"/>
    <w:rsid w:val="00F65B2D"/>
    <w:rsid w:val="00F67B52"/>
    <w:rsid w:val="00F700FD"/>
    <w:rsid w:val="00F834D1"/>
    <w:rsid w:val="00F853CB"/>
    <w:rsid w:val="00F876A1"/>
    <w:rsid w:val="00F940C5"/>
    <w:rsid w:val="00FB0754"/>
    <w:rsid w:val="00FB1136"/>
    <w:rsid w:val="00FB16A2"/>
    <w:rsid w:val="00FB416D"/>
    <w:rsid w:val="00FB60EA"/>
    <w:rsid w:val="00FC21F3"/>
    <w:rsid w:val="00FD756A"/>
    <w:rsid w:val="00FE092A"/>
    <w:rsid w:val="00FE28D6"/>
    <w:rsid w:val="00FF4D84"/>
    <w:rsid w:val="00FF7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18D7"/>
  <w15:chartTrackingRefBased/>
  <w15:docId w15:val="{59DFBD10-9931-4251-A3A1-4947FB2F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1EF1"/>
  </w:style>
  <w:style w:type="paragraph" w:styleId="Titolo1">
    <w:name w:val="heading 1"/>
    <w:basedOn w:val="Normale"/>
    <w:next w:val="Normale"/>
    <w:link w:val="Titolo1Carattere"/>
    <w:uiPriority w:val="9"/>
    <w:qFormat/>
    <w:rsid w:val="0028307E"/>
    <w:pPr>
      <w:keepNext/>
      <w:keepLines/>
      <w:spacing w:before="240" w:after="0"/>
      <w:jc w:val="both"/>
      <w:outlineLvl w:val="0"/>
    </w:pPr>
    <w:rPr>
      <w:rFonts w:ascii="Times New Roman" w:eastAsiaTheme="majorEastAsia" w:hAnsi="Times New Roman" w:cs="Times New Roman"/>
      <w:b/>
      <w:color w:val="2F5496" w:themeColor="accent1" w:themeShade="BF"/>
      <w:sz w:val="28"/>
      <w:szCs w:val="32"/>
    </w:rPr>
  </w:style>
  <w:style w:type="paragraph" w:styleId="Titolo2">
    <w:name w:val="heading 2"/>
    <w:basedOn w:val="Normale"/>
    <w:next w:val="Normale"/>
    <w:link w:val="Titolo2Carattere"/>
    <w:uiPriority w:val="9"/>
    <w:unhideWhenUsed/>
    <w:qFormat/>
    <w:rsid w:val="00970E2C"/>
    <w:pPr>
      <w:keepNext/>
      <w:keepLines/>
      <w:spacing w:after="120" w:line="240" w:lineRule="auto"/>
      <w:ind w:firstLine="284"/>
      <w:jc w:val="both"/>
      <w:outlineLvl w:val="1"/>
    </w:pPr>
    <w:rPr>
      <w:rFonts w:ascii="Times New Roman" w:eastAsiaTheme="majorEastAsia" w:hAnsi="Times New Roman" w:cs="Times New Roman"/>
      <w:b/>
      <w:color w:val="2F5496" w:themeColor="accent1" w:themeShade="BF"/>
      <w:sz w:val="28"/>
      <w:szCs w:val="28"/>
    </w:rPr>
  </w:style>
  <w:style w:type="paragraph" w:styleId="Titolo3">
    <w:name w:val="heading 3"/>
    <w:basedOn w:val="Normale"/>
    <w:next w:val="Normale"/>
    <w:link w:val="Titolo3Carattere"/>
    <w:uiPriority w:val="9"/>
    <w:unhideWhenUsed/>
    <w:qFormat/>
    <w:rsid w:val="0028307E"/>
    <w:pPr>
      <w:keepNext/>
      <w:keepLines/>
      <w:spacing w:before="40" w:after="0"/>
      <w:ind w:firstLine="284"/>
      <w:jc w:val="both"/>
      <w:outlineLvl w:val="2"/>
    </w:pPr>
    <w:rPr>
      <w:rFonts w:ascii="Times New Roman" w:eastAsiaTheme="majorEastAsia" w:hAnsi="Times New Roman" w:cs="Times New Roman"/>
      <w:b/>
      <w:color w:val="1F3763" w:themeColor="accent1" w:themeShade="7F"/>
      <w:sz w:val="28"/>
      <w:szCs w:val="24"/>
    </w:rPr>
  </w:style>
  <w:style w:type="paragraph" w:styleId="Titolo4">
    <w:name w:val="heading 4"/>
    <w:basedOn w:val="Normale"/>
    <w:next w:val="Normale"/>
    <w:link w:val="Titolo4Carattere"/>
    <w:uiPriority w:val="9"/>
    <w:semiHidden/>
    <w:unhideWhenUsed/>
    <w:qFormat/>
    <w:rsid w:val="00A94B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1EF1"/>
    <w:pPr>
      <w:spacing w:after="0" w:line="240" w:lineRule="auto"/>
      <w:ind w:left="720"/>
      <w:contextualSpacing/>
    </w:pPr>
    <w:rPr>
      <w:rFonts w:ascii="Calibri" w:hAnsi="Calibri" w:cs="Times New Roman"/>
    </w:rPr>
  </w:style>
  <w:style w:type="character" w:customStyle="1" w:styleId="Titolo2Carattere">
    <w:name w:val="Titolo 2 Carattere"/>
    <w:basedOn w:val="Carpredefinitoparagrafo"/>
    <w:link w:val="Titolo2"/>
    <w:uiPriority w:val="9"/>
    <w:rsid w:val="00970E2C"/>
    <w:rPr>
      <w:rFonts w:ascii="Times New Roman" w:eastAsiaTheme="majorEastAsia" w:hAnsi="Times New Roman" w:cs="Times New Roman"/>
      <w:b/>
      <w:color w:val="2F5496" w:themeColor="accent1" w:themeShade="BF"/>
      <w:sz w:val="28"/>
      <w:szCs w:val="28"/>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Testo nota a pié di pagina,stile 1"/>
    <w:basedOn w:val="Normale"/>
    <w:link w:val="TestonotaapidipaginaCarattere"/>
    <w:unhideWhenUsed/>
    <w:qFormat/>
    <w:rsid w:val="00D70DA5"/>
    <w:pPr>
      <w:spacing w:after="0" w:line="240" w:lineRule="auto"/>
    </w:pPr>
    <w:rPr>
      <w:sz w:val="20"/>
      <w:szCs w:val="20"/>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Testo nota a pié di pagina Carattere,stile 1 Carattere"/>
    <w:basedOn w:val="Carpredefinitoparagrafo"/>
    <w:link w:val="Testonotaapidipagina"/>
    <w:rsid w:val="00D70DA5"/>
    <w:rPr>
      <w:sz w:val="20"/>
      <w:szCs w:val="20"/>
    </w:rPr>
  </w:style>
  <w:style w:type="character" w:styleId="Rimandonotaapidipagina">
    <w:name w:val="footnote reference"/>
    <w:aliases w:val="Rimando nota a piè di pagina 2,(Footnote Reference),SUPERS,EN Footnote Reference,Footnote symbol,Footnote reference number,note TESI,Footnote,Footnote number,fr,o,Footnotemark,FR,Footnotemark1,Footnotemark2,FR1,Footnotemark3"/>
    <w:basedOn w:val="Carpredefinitoparagrafo"/>
    <w:uiPriority w:val="99"/>
    <w:unhideWhenUsed/>
    <w:rsid w:val="00D70DA5"/>
    <w:rPr>
      <w:vertAlign w:val="superscript"/>
    </w:rPr>
  </w:style>
  <w:style w:type="paragraph" w:styleId="Corpotesto">
    <w:name w:val="Body Text"/>
    <w:basedOn w:val="Normale"/>
    <w:link w:val="CorpotestoCarattere"/>
    <w:uiPriority w:val="1"/>
    <w:unhideWhenUsed/>
    <w:qFormat/>
    <w:rsid w:val="00D70DA5"/>
    <w:pPr>
      <w:spacing w:before="1" w:after="0" w:line="240" w:lineRule="auto"/>
      <w:ind w:firstLine="284"/>
    </w:pPr>
    <w:rPr>
      <w:rFonts w:ascii="New Aster" w:hAnsi="New Aster"/>
      <w:sz w:val="21"/>
    </w:rPr>
  </w:style>
  <w:style w:type="character" w:customStyle="1" w:styleId="CorpotestoCarattere">
    <w:name w:val="Corpo testo Carattere"/>
    <w:basedOn w:val="Carpredefinitoparagrafo"/>
    <w:link w:val="Corpotesto"/>
    <w:uiPriority w:val="1"/>
    <w:rsid w:val="00D70DA5"/>
    <w:rPr>
      <w:rFonts w:ascii="New Aster" w:hAnsi="New Aster"/>
      <w:sz w:val="21"/>
    </w:rPr>
  </w:style>
  <w:style w:type="paragraph" w:customStyle="1" w:styleId="Titolo11">
    <w:name w:val="Titolo 11"/>
    <w:basedOn w:val="Normale"/>
    <w:uiPriority w:val="1"/>
    <w:qFormat/>
    <w:rsid w:val="00110AFC"/>
    <w:pPr>
      <w:spacing w:line="240" w:lineRule="auto"/>
    </w:pPr>
    <w:rPr>
      <w:rFonts w:ascii="New Aster" w:hAnsi="New Aster"/>
      <w:b/>
      <w:sz w:val="21"/>
    </w:rPr>
  </w:style>
  <w:style w:type="character" w:customStyle="1" w:styleId="Titolo3Carattere">
    <w:name w:val="Titolo 3 Carattere"/>
    <w:basedOn w:val="Carpredefinitoparagrafo"/>
    <w:link w:val="Titolo3"/>
    <w:uiPriority w:val="9"/>
    <w:rsid w:val="0028307E"/>
    <w:rPr>
      <w:rFonts w:ascii="Times New Roman" w:eastAsiaTheme="majorEastAsia" w:hAnsi="Times New Roman" w:cs="Times New Roman"/>
      <w:b/>
      <w:color w:val="1F3763" w:themeColor="accent1" w:themeShade="7F"/>
      <w:sz w:val="28"/>
      <w:szCs w:val="24"/>
    </w:rPr>
  </w:style>
  <w:style w:type="character" w:customStyle="1" w:styleId="Titolo1Carattere">
    <w:name w:val="Titolo 1 Carattere"/>
    <w:basedOn w:val="Carpredefinitoparagrafo"/>
    <w:link w:val="Titolo1"/>
    <w:uiPriority w:val="9"/>
    <w:rsid w:val="0028307E"/>
    <w:rPr>
      <w:rFonts w:ascii="Times New Roman" w:eastAsiaTheme="majorEastAsia" w:hAnsi="Times New Roman" w:cs="Times New Roman"/>
      <w:b/>
      <w:color w:val="2F5496" w:themeColor="accent1" w:themeShade="BF"/>
      <w:sz w:val="28"/>
      <w:szCs w:val="32"/>
    </w:rPr>
  </w:style>
  <w:style w:type="character" w:customStyle="1" w:styleId="TestonotaapidipaginaCarattere1">
    <w:name w:val="Testo nota a piè di pagina Carattere1"/>
    <w:aliases w:val="Testo nota a piè di pagina Carattere2 Carattere Carattere,Testo nota a piè di pagina Carattere Carattere1 Carattere Carattere,Testo nota a piè di pagina Carattere2 Carattere Carattere Carattere Carattere"/>
    <w:rsid w:val="0065352F"/>
    <w:rPr>
      <w:rFonts w:ascii="Times New Roman" w:eastAsia="Times New Roman" w:hAnsi="Times New Roman" w:cs="Times New Roman"/>
      <w:snapToGrid w:val="0"/>
      <w:spacing w:val="-6"/>
      <w:sz w:val="20"/>
      <w:szCs w:val="20"/>
      <w:lang w:eastAsia="it-IT"/>
    </w:rPr>
  </w:style>
  <w:style w:type="paragraph" w:styleId="Intestazione">
    <w:name w:val="header"/>
    <w:basedOn w:val="Normale"/>
    <w:link w:val="IntestazioneCarattere"/>
    <w:uiPriority w:val="99"/>
    <w:unhideWhenUsed/>
    <w:rsid w:val="004215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1567"/>
  </w:style>
  <w:style w:type="paragraph" w:styleId="Pidipagina">
    <w:name w:val="footer"/>
    <w:basedOn w:val="Normale"/>
    <w:link w:val="PidipaginaCarattere"/>
    <w:uiPriority w:val="99"/>
    <w:unhideWhenUsed/>
    <w:rsid w:val="004215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1567"/>
  </w:style>
  <w:style w:type="paragraph" w:styleId="Revisione">
    <w:name w:val="Revision"/>
    <w:hidden/>
    <w:uiPriority w:val="99"/>
    <w:semiHidden/>
    <w:rsid w:val="00B51276"/>
    <w:pPr>
      <w:spacing w:after="0" w:line="240" w:lineRule="auto"/>
    </w:pPr>
  </w:style>
  <w:style w:type="paragraph" w:styleId="Testofumetto">
    <w:name w:val="Balloon Text"/>
    <w:basedOn w:val="Normale"/>
    <w:link w:val="TestofumettoCarattere"/>
    <w:uiPriority w:val="99"/>
    <w:semiHidden/>
    <w:unhideWhenUsed/>
    <w:rsid w:val="00B512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1276"/>
    <w:rPr>
      <w:rFonts w:ascii="Segoe UI" w:hAnsi="Segoe UI" w:cs="Segoe UI"/>
      <w:sz w:val="18"/>
      <w:szCs w:val="18"/>
    </w:rPr>
  </w:style>
  <w:style w:type="paragraph" w:styleId="Corpodeltesto2">
    <w:name w:val="Body Text 2"/>
    <w:basedOn w:val="Normale"/>
    <w:link w:val="Corpodeltesto2Carattere"/>
    <w:uiPriority w:val="99"/>
    <w:semiHidden/>
    <w:unhideWhenUsed/>
    <w:rsid w:val="002971B4"/>
    <w:pPr>
      <w:spacing w:after="120" w:line="480" w:lineRule="auto"/>
    </w:pPr>
  </w:style>
  <w:style w:type="character" w:customStyle="1" w:styleId="Corpodeltesto2Carattere">
    <w:name w:val="Corpo del testo 2 Carattere"/>
    <w:basedOn w:val="Carpredefinitoparagrafo"/>
    <w:link w:val="Corpodeltesto2"/>
    <w:uiPriority w:val="99"/>
    <w:semiHidden/>
    <w:rsid w:val="002971B4"/>
  </w:style>
  <w:style w:type="character" w:customStyle="1" w:styleId="Titolo4Carattere">
    <w:name w:val="Titolo 4 Carattere"/>
    <w:basedOn w:val="Carpredefinitoparagrafo"/>
    <w:link w:val="Titolo4"/>
    <w:uiPriority w:val="9"/>
    <w:semiHidden/>
    <w:rsid w:val="00A94B0B"/>
    <w:rPr>
      <w:rFonts w:asciiTheme="majorHAnsi" w:eastAsiaTheme="majorEastAsia" w:hAnsiTheme="majorHAnsi" w:cstheme="majorBidi"/>
      <w:i/>
      <w:iCs/>
      <w:color w:val="2F5496" w:themeColor="accent1" w:themeShade="BF"/>
    </w:rPr>
  </w:style>
  <w:style w:type="paragraph" w:styleId="Titolosommario">
    <w:name w:val="TOC Heading"/>
    <w:basedOn w:val="Titolo1"/>
    <w:next w:val="Normale"/>
    <w:uiPriority w:val="39"/>
    <w:unhideWhenUsed/>
    <w:qFormat/>
    <w:rsid w:val="00FF4D84"/>
    <w:pPr>
      <w:jc w:val="left"/>
      <w:outlineLvl w:val="9"/>
    </w:pPr>
    <w:rPr>
      <w:rFonts w:asciiTheme="majorHAnsi" w:hAnsiTheme="majorHAnsi" w:cstheme="majorBidi"/>
      <w:b w:val="0"/>
      <w:sz w:val="32"/>
      <w:lang w:eastAsia="it-IT"/>
    </w:rPr>
  </w:style>
  <w:style w:type="paragraph" w:styleId="Sommario1">
    <w:name w:val="toc 1"/>
    <w:basedOn w:val="Normale"/>
    <w:next w:val="Normale"/>
    <w:autoRedefine/>
    <w:uiPriority w:val="39"/>
    <w:unhideWhenUsed/>
    <w:rsid w:val="00FF4D84"/>
    <w:pPr>
      <w:spacing w:after="100"/>
    </w:pPr>
  </w:style>
  <w:style w:type="paragraph" w:styleId="Sommario2">
    <w:name w:val="toc 2"/>
    <w:basedOn w:val="Normale"/>
    <w:next w:val="Normale"/>
    <w:autoRedefine/>
    <w:uiPriority w:val="39"/>
    <w:unhideWhenUsed/>
    <w:rsid w:val="00FF4D84"/>
    <w:pPr>
      <w:spacing w:after="100"/>
      <w:ind w:left="220"/>
    </w:pPr>
  </w:style>
  <w:style w:type="paragraph" w:styleId="Sommario3">
    <w:name w:val="toc 3"/>
    <w:basedOn w:val="Normale"/>
    <w:next w:val="Normale"/>
    <w:autoRedefine/>
    <w:uiPriority w:val="39"/>
    <w:unhideWhenUsed/>
    <w:rsid w:val="00FF4D84"/>
    <w:pPr>
      <w:spacing w:after="100"/>
      <w:ind w:left="440"/>
    </w:pPr>
  </w:style>
  <w:style w:type="character" w:styleId="Collegamentoipertestuale">
    <w:name w:val="Hyperlink"/>
    <w:basedOn w:val="Carpredefinitoparagrafo"/>
    <w:uiPriority w:val="99"/>
    <w:unhideWhenUsed/>
    <w:rsid w:val="00FF4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5090">
      <w:bodyDiv w:val="1"/>
      <w:marLeft w:val="0"/>
      <w:marRight w:val="0"/>
      <w:marTop w:val="0"/>
      <w:marBottom w:val="0"/>
      <w:divBdr>
        <w:top w:val="none" w:sz="0" w:space="0" w:color="auto"/>
        <w:left w:val="none" w:sz="0" w:space="0" w:color="auto"/>
        <w:bottom w:val="none" w:sz="0" w:space="0" w:color="auto"/>
        <w:right w:val="none" w:sz="0" w:space="0" w:color="auto"/>
      </w:divBdr>
    </w:div>
    <w:div w:id="276106738">
      <w:bodyDiv w:val="1"/>
      <w:marLeft w:val="0"/>
      <w:marRight w:val="0"/>
      <w:marTop w:val="0"/>
      <w:marBottom w:val="0"/>
      <w:divBdr>
        <w:top w:val="none" w:sz="0" w:space="0" w:color="auto"/>
        <w:left w:val="none" w:sz="0" w:space="0" w:color="auto"/>
        <w:bottom w:val="none" w:sz="0" w:space="0" w:color="auto"/>
        <w:right w:val="none" w:sz="0" w:space="0" w:color="auto"/>
      </w:divBdr>
    </w:div>
    <w:div w:id="733550807">
      <w:bodyDiv w:val="1"/>
      <w:marLeft w:val="0"/>
      <w:marRight w:val="0"/>
      <w:marTop w:val="0"/>
      <w:marBottom w:val="0"/>
      <w:divBdr>
        <w:top w:val="none" w:sz="0" w:space="0" w:color="auto"/>
        <w:left w:val="none" w:sz="0" w:space="0" w:color="auto"/>
        <w:bottom w:val="none" w:sz="0" w:space="0" w:color="auto"/>
        <w:right w:val="none" w:sz="0" w:space="0" w:color="auto"/>
      </w:divBdr>
    </w:div>
    <w:div w:id="11176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ntilocali.leggiditalia.it/" TargetMode="External"/><Relationship Id="rId2" Type="http://schemas.openxmlformats.org/officeDocument/2006/relationships/hyperlink" Target="http://entilocali.leggiditalia.it/" TargetMode="External"/><Relationship Id="rId1" Type="http://schemas.openxmlformats.org/officeDocument/2006/relationships/hyperlink" Target="http://entilocali.leggiditalia.it/" TargetMode="External"/><Relationship Id="rId4" Type="http://schemas.openxmlformats.org/officeDocument/2006/relationships/hyperlink" Target="http://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273B-A2AE-448F-B1C1-9FAE4199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39</Pages>
  <Words>11100</Words>
  <Characters>63270</Characters>
  <Application>Microsoft Office Word</Application>
  <DocSecurity>0</DocSecurity>
  <Lines>527</Lines>
  <Paragraphs>148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Centrone Donato</dc:creator>
  <cp:keywords/>
  <dc:description/>
  <cp:lastModifiedBy>Centrone Donato</cp:lastModifiedBy>
  <cp:revision>173</cp:revision>
  <cp:lastPrinted>2020-05-04T12:53:00Z</cp:lastPrinted>
  <dcterms:created xsi:type="dcterms:W3CDTF">2019-02-20T18:30:00Z</dcterms:created>
  <dcterms:modified xsi:type="dcterms:W3CDTF">2020-05-07T08:56:00Z</dcterms:modified>
</cp:coreProperties>
</file>